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CEE4B" w14:textId="785D8B50" w:rsidR="00207664" w:rsidRPr="000743A9" w:rsidRDefault="009C36F4" w:rsidP="00207664">
      <w:pPr>
        <w:pStyle w:val="Heading1"/>
        <w:tabs>
          <w:tab w:val="left" w:pos="6675"/>
        </w:tabs>
        <w:ind w:left="-2160" w:firstLine="180"/>
        <w:rPr>
          <w:sz w:val="18"/>
        </w:rPr>
      </w:pPr>
      <w:r w:rsidRPr="000743A9">
        <w:rPr>
          <w:sz w:val="22"/>
        </w:rPr>
        <w:t>Issue</w:t>
      </w:r>
      <w:r w:rsidR="00207664" w:rsidRPr="000743A9">
        <w:rPr>
          <w:sz w:val="22"/>
        </w:rPr>
        <w:tab/>
      </w:r>
    </w:p>
    <w:p w14:paraId="51FDE77F" w14:textId="14326C7C" w:rsidR="00170181" w:rsidRPr="000743A9" w:rsidRDefault="005D17B9" w:rsidP="00170181">
      <w:pPr>
        <w:pStyle w:val="Heading1"/>
        <w:tabs>
          <w:tab w:val="left" w:pos="6675"/>
        </w:tabs>
        <w:ind w:left="-810"/>
        <w:rPr>
          <w:rFonts w:ascii="Garamond" w:hAnsi="Garamond"/>
          <w:bCs w:val="0"/>
          <w:color w:val="FF0000"/>
          <w:kern w:val="0"/>
          <w:sz w:val="22"/>
          <w:szCs w:val="20"/>
        </w:rPr>
      </w:pPr>
      <w:r w:rsidRPr="000743A9">
        <w:rPr>
          <w:rFonts w:ascii="Garamond" w:hAnsi="Garamond"/>
          <w:bCs w:val="0"/>
          <w:color w:val="auto"/>
          <w:kern w:val="0"/>
          <w:sz w:val="22"/>
          <w:szCs w:val="20"/>
        </w:rPr>
        <w:t>Some</w:t>
      </w:r>
      <w:r w:rsidR="00D0570C" w:rsidRPr="000743A9">
        <w:rPr>
          <w:rFonts w:ascii="Garamond" w:hAnsi="Garamond"/>
          <w:bCs w:val="0"/>
          <w:color w:val="auto"/>
          <w:kern w:val="0"/>
          <w:sz w:val="22"/>
          <w:szCs w:val="20"/>
        </w:rPr>
        <w:t xml:space="preserve"> Service</w:t>
      </w:r>
      <w:r w:rsidRPr="000743A9">
        <w:rPr>
          <w:rFonts w:ascii="Garamond" w:hAnsi="Garamond"/>
          <w:bCs w:val="0"/>
          <w:color w:val="auto"/>
          <w:kern w:val="0"/>
          <w:sz w:val="22"/>
          <w:szCs w:val="20"/>
        </w:rPr>
        <w:t>s</w:t>
      </w:r>
      <w:r w:rsidR="00D0570C" w:rsidRPr="000743A9">
        <w:rPr>
          <w:rFonts w:ascii="Garamond" w:hAnsi="Garamond"/>
          <w:bCs w:val="0"/>
          <w:color w:val="auto"/>
          <w:kern w:val="0"/>
          <w:sz w:val="22"/>
          <w:szCs w:val="20"/>
        </w:rPr>
        <w:t xml:space="preserve"> </w:t>
      </w:r>
      <w:r w:rsidRPr="000743A9">
        <w:rPr>
          <w:rFonts w:ascii="Garamond" w:hAnsi="Garamond"/>
          <w:bCs w:val="0"/>
          <w:color w:val="auto"/>
          <w:kern w:val="0"/>
          <w:sz w:val="22"/>
          <w:szCs w:val="20"/>
        </w:rPr>
        <w:t>classify depreciation expense as a non-operating expense on the income statement, while other Services consider depreciation expense an operating expense.</w:t>
      </w:r>
      <w:r w:rsidR="00D0570C" w:rsidRPr="000743A9">
        <w:rPr>
          <w:rFonts w:ascii="Garamond" w:hAnsi="Garamond"/>
          <w:bCs w:val="0"/>
          <w:color w:val="auto"/>
          <w:kern w:val="0"/>
          <w:sz w:val="22"/>
          <w:szCs w:val="20"/>
        </w:rPr>
        <w:t xml:space="preserve"> </w:t>
      </w:r>
      <w:r w:rsidRPr="000743A9">
        <w:rPr>
          <w:rFonts w:ascii="Garamond" w:hAnsi="Garamond"/>
          <w:bCs w:val="0"/>
          <w:color w:val="auto"/>
          <w:kern w:val="0"/>
          <w:sz w:val="22"/>
          <w:szCs w:val="20"/>
        </w:rPr>
        <w:t xml:space="preserve"> </w:t>
      </w:r>
      <w:r w:rsidR="009A501E" w:rsidRPr="000743A9">
        <w:rPr>
          <w:rFonts w:ascii="Garamond" w:hAnsi="Garamond"/>
          <w:bCs w:val="0"/>
          <w:color w:val="auto"/>
          <w:kern w:val="0"/>
          <w:sz w:val="22"/>
          <w:szCs w:val="20"/>
        </w:rPr>
        <w:t xml:space="preserve">Currently the DoD Financial Management Regulation Volume 13 classifies depreciation expense as a non-operating expense.  </w:t>
      </w:r>
      <w:r w:rsidRPr="000743A9">
        <w:rPr>
          <w:rFonts w:ascii="Garamond" w:hAnsi="Garamond"/>
          <w:bCs w:val="0"/>
          <w:color w:val="auto"/>
          <w:kern w:val="0"/>
          <w:sz w:val="22"/>
          <w:szCs w:val="20"/>
        </w:rPr>
        <w:t>Additionally, Service specific reports</w:t>
      </w:r>
      <w:r w:rsidR="00597BF9" w:rsidRPr="000743A9">
        <w:rPr>
          <w:rFonts w:ascii="Garamond" w:hAnsi="Garamond"/>
          <w:bCs w:val="0"/>
          <w:color w:val="auto"/>
          <w:kern w:val="0"/>
          <w:sz w:val="22"/>
          <w:szCs w:val="20"/>
        </w:rPr>
        <w:t xml:space="preserve"> that do not need to follow Generally Accepted Accounting Principles (GAAP),</w:t>
      </w:r>
      <w:r w:rsidRPr="000743A9">
        <w:rPr>
          <w:rFonts w:ascii="Garamond" w:hAnsi="Garamond"/>
          <w:bCs w:val="0"/>
          <w:color w:val="auto"/>
          <w:kern w:val="0"/>
          <w:sz w:val="22"/>
          <w:szCs w:val="20"/>
        </w:rPr>
        <w:t xml:space="preserve"> use Net Income Before Depreciation an</w:t>
      </w:r>
      <w:r w:rsidR="00597BF9" w:rsidRPr="000743A9">
        <w:rPr>
          <w:rFonts w:ascii="Garamond" w:hAnsi="Garamond"/>
          <w:bCs w:val="0"/>
          <w:color w:val="auto"/>
          <w:kern w:val="0"/>
          <w:sz w:val="22"/>
          <w:szCs w:val="20"/>
        </w:rPr>
        <w:t>d Net Income After Depreciation.</w:t>
      </w:r>
    </w:p>
    <w:p w14:paraId="777202BF" w14:textId="77777777" w:rsidR="00207664" w:rsidRPr="000743A9" w:rsidRDefault="00207664" w:rsidP="00207664">
      <w:pPr>
        <w:pStyle w:val="Heading1"/>
        <w:tabs>
          <w:tab w:val="left" w:pos="6675"/>
        </w:tabs>
        <w:ind w:left="-1710"/>
        <w:rPr>
          <w:rFonts w:ascii="Garamond" w:hAnsi="Garamond"/>
          <w:bCs w:val="0"/>
          <w:color w:val="auto"/>
          <w:kern w:val="0"/>
          <w:sz w:val="22"/>
          <w:szCs w:val="20"/>
        </w:rPr>
      </w:pPr>
    </w:p>
    <w:p w14:paraId="6BE0444F" w14:textId="77777777" w:rsidR="00207664" w:rsidRPr="000743A9" w:rsidRDefault="00207664" w:rsidP="00207664">
      <w:pPr>
        <w:pStyle w:val="Heading1"/>
        <w:tabs>
          <w:tab w:val="left" w:pos="6675"/>
        </w:tabs>
        <w:ind w:left="-1980"/>
        <w:rPr>
          <w:sz w:val="22"/>
        </w:rPr>
      </w:pPr>
      <w:r w:rsidRPr="000743A9">
        <w:rPr>
          <w:sz w:val="22"/>
        </w:rPr>
        <w:t>Research</w:t>
      </w:r>
    </w:p>
    <w:p w14:paraId="1FADC66F" w14:textId="71784830" w:rsidR="00207664" w:rsidRPr="000743A9" w:rsidRDefault="00207664" w:rsidP="00BC6A0F">
      <w:pPr>
        <w:ind w:left="-810"/>
      </w:pPr>
      <w:r w:rsidRPr="000743A9">
        <w:t xml:space="preserve">Below outlines the current treatment </w:t>
      </w:r>
      <w:r w:rsidR="00595A3C" w:rsidRPr="000743A9">
        <w:t xml:space="preserve">on </w:t>
      </w:r>
      <w:r w:rsidRPr="000743A9">
        <w:t>how each service complies and what the regulations, accounting guidance and industry standards are for this area.</w:t>
      </w:r>
    </w:p>
    <w:tbl>
      <w:tblPr>
        <w:tblStyle w:val="LightGrid"/>
        <w:tblpPr w:leftFromText="180" w:rightFromText="180" w:vertAnchor="text" w:horzAnchor="page" w:tblpXSpec="center" w:tblpY="151"/>
        <w:tblW w:w="14670" w:type="dxa"/>
        <w:tblLayout w:type="fixed"/>
        <w:tblLook w:val="04A0" w:firstRow="1" w:lastRow="0" w:firstColumn="1" w:lastColumn="0" w:noHBand="0" w:noVBand="1"/>
      </w:tblPr>
      <w:tblGrid>
        <w:gridCol w:w="7488"/>
        <w:gridCol w:w="1795"/>
        <w:gridCol w:w="1796"/>
        <w:gridCol w:w="1795"/>
        <w:gridCol w:w="1796"/>
      </w:tblGrid>
      <w:tr w:rsidR="00207664" w:rsidRPr="000743A9" w14:paraId="3F51E2C1" w14:textId="77777777" w:rsidTr="001F6ADB">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488" w:type="dxa"/>
            <w:shd w:val="clear" w:color="auto" w:fill="000000" w:themeFill="text1"/>
          </w:tcPr>
          <w:p w14:paraId="68A243B9" w14:textId="5F27465C" w:rsidR="00207664" w:rsidRPr="000743A9" w:rsidRDefault="006F48D8" w:rsidP="006C040A">
            <w:pPr>
              <w:rPr>
                <w:sz w:val="24"/>
                <w:szCs w:val="26"/>
              </w:rPr>
            </w:pPr>
            <w:r w:rsidRPr="000743A9">
              <w:rPr>
                <w:sz w:val="24"/>
                <w:szCs w:val="26"/>
              </w:rPr>
              <w:t xml:space="preserve">Classification and Handling of </w:t>
            </w:r>
            <w:r w:rsidR="006C040A" w:rsidRPr="000743A9">
              <w:rPr>
                <w:sz w:val="24"/>
                <w:szCs w:val="26"/>
              </w:rPr>
              <w:t>Depreciation Expense</w:t>
            </w:r>
            <w:r w:rsidR="00207664" w:rsidRPr="000743A9">
              <w:rPr>
                <w:sz w:val="24"/>
                <w:szCs w:val="26"/>
              </w:rPr>
              <w:t xml:space="preserve"> Guid</w:t>
            </w:r>
            <w:r w:rsidRPr="000743A9">
              <w:rPr>
                <w:sz w:val="24"/>
                <w:szCs w:val="26"/>
              </w:rPr>
              <w:t>ance</w:t>
            </w:r>
          </w:p>
        </w:tc>
        <w:tc>
          <w:tcPr>
            <w:tcW w:w="1795" w:type="dxa"/>
            <w:shd w:val="clear" w:color="auto" w:fill="000000" w:themeFill="text1"/>
          </w:tcPr>
          <w:p w14:paraId="340D0146" w14:textId="77777777" w:rsidR="00207664" w:rsidRPr="000743A9" w:rsidRDefault="00207664" w:rsidP="00BF4937">
            <w:pPr>
              <w:jc w:val="center"/>
              <w:cnfStyle w:val="100000000000" w:firstRow="1" w:lastRow="0" w:firstColumn="0" w:lastColumn="0" w:oddVBand="0" w:evenVBand="0" w:oddHBand="0" w:evenHBand="0" w:firstRowFirstColumn="0" w:firstRowLastColumn="0" w:lastRowFirstColumn="0" w:lastRowLastColumn="0"/>
              <w:rPr>
                <w:sz w:val="24"/>
                <w:szCs w:val="26"/>
              </w:rPr>
            </w:pPr>
            <w:r w:rsidRPr="000743A9">
              <w:rPr>
                <w:sz w:val="24"/>
                <w:szCs w:val="26"/>
              </w:rPr>
              <w:t>Air Force</w:t>
            </w:r>
          </w:p>
        </w:tc>
        <w:tc>
          <w:tcPr>
            <w:tcW w:w="1796" w:type="dxa"/>
            <w:shd w:val="clear" w:color="auto" w:fill="000000" w:themeFill="text1"/>
          </w:tcPr>
          <w:p w14:paraId="71F6B7F0" w14:textId="77777777" w:rsidR="00207664" w:rsidRPr="000743A9" w:rsidRDefault="00207664" w:rsidP="00BF4937">
            <w:pPr>
              <w:jc w:val="center"/>
              <w:cnfStyle w:val="100000000000" w:firstRow="1" w:lastRow="0" w:firstColumn="0" w:lastColumn="0" w:oddVBand="0" w:evenVBand="0" w:oddHBand="0" w:evenHBand="0" w:firstRowFirstColumn="0" w:firstRowLastColumn="0" w:lastRowFirstColumn="0" w:lastRowLastColumn="0"/>
              <w:rPr>
                <w:sz w:val="24"/>
                <w:szCs w:val="26"/>
              </w:rPr>
            </w:pPr>
            <w:r w:rsidRPr="000743A9">
              <w:rPr>
                <w:sz w:val="24"/>
                <w:szCs w:val="26"/>
              </w:rPr>
              <w:t>Army</w:t>
            </w:r>
          </w:p>
        </w:tc>
        <w:tc>
          <w:tcPr>
            <w:tcW w:w="1795" w:type="dxa"/>
            <w:shd w:val="clear" w:color="auto" w:fill="000000" w:themeFill="text1"/>
          </w:tcPr>
          <w:p w14:paraId="20FB6667" w14:textId="77777777" w:rsidR="00207664" w:rsidRPr="000743A9" w:rsidRDefault="00207664" w:rsidP="00BF4937">
            <w:pPr>
              <w:jc w:val="center"/>
              <w:cnfStyle w:val="100000000000" w:firstRow="1" w:lastRow="0" w:firstColumn="0" w:lastColumn="0" w:oddVBand="0" w:evenVBand="0" w:oddHBand="0" w:evenHBand="0" w:firstRowFirstColumn="0" w:firstRowLastColumn="0" w:lastRowFirstColumn="0" w:lastRowLastColumn="0"/>
              <w:rPr>
                <w:sz w:val="24"/>
                <w:szCs w:val="26"/>
              </w:rPr>
            </w:pPr>
            <w:r w:rsidRPr="000743A9">
              <w:rPr>
                <w:sz w:val="24"/>
                <w:szCs w:val="26"/>
              </w:rPr>
              <w:t>Navy</w:t>
            </w:r>
          </w:p>
        </w:tc>
        <w:tc>
          <w:tcPr>
            <w:tcW w:w="1796" w:type="dxa"/>
            <w:shd w:val="clear" w:color="auto" w:fill="000000" w:themeFill="text1"/>
          </w:tcPr>
          <w:p w14:paraId="67944CC4" w14:textId="77777777" w:rsidR="00207664" w:rsidRPr="000743A9" w:rsidRDefault="00207664" w:rsidP="00BF4937">
            <w:pPr>
              <w:jc w:val="center"/>
              <w:cnfStyle w:val="100000000000" w:firstRow="1" w:lastRow="0" w:firstColumn="0" w:lastColumn="0" w:oddVBand="0" w:evenVBand="0" w:oddHBand="0" w:evenHBand="0" w:firstRowFirstColumn="0" w:firstRowLastColumn="0" w:lastRowFirstColumn="0" w:lastRowLastColumn="0"/>
              <w:rPr>
                <w:sz w:val="24"/>
                <w:szCs w:val="26"/>
              </w:rPr>
            </w:pPr>
            <w:r w:rsidRPr="000743A9">
              <w:rPr>
                <w:sz w:val="24"/>
                <w:szCs w:val="26"/>
              </w:rPr>
              <w:t>Marines</w:t>
            </w:r>
          </w:p>
        </w:tc>
      </w:tr>
      <w:tr w:rsidR="00527903" w:rsidRPr="000743A9" w14:paraId="34BF6C59" w14:textId="77777777" w:rsidTr="001F6AD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7488" w:type="dxa"/>
          </w:tcPr>
          <w:p w14:paraId="5678B4D4" w14:textId="342490FA" w:rsidR="00527903" w:rsidRPr="000743A9" w:rsidRDefault="004E2F92" w:rsidP="00FA1B81">
            <w:pPr>
              <w:rPr>
                <w:rFonts w:asciiTheme="minorHAnsi" w:hAnsiTheme="minorHAnsi"/>
                <w:sz w:val="20"/>
                <w:szCs w:val="22"/>
              </w:rPr>
            </w:pPr>
            <w:r w:rsidRPr="000743A9">
              <w:rPr>
                <w:rFonts w:asciiTheme="minorHAnsi" w:hAnsiTheme="minorHAnsi"/>
                <w:sz w:val="20"/>
                <w:szCs w:val="22"/>
              </w:rPr>
              <w:t>Services Depreciation Expense classification</w:t>
            </w:r>
          </w:p>
          <w:p w14:paraId="69E4D0F0" w14:textId="4C3B3A0C" w:rsidR="00527903" w:rsidRPr="000743A9" w:rsidRDefault="00527903" w:rsidP="00FA1B81">
            <w:pPr>
              <w:rPr>
                <w:rFonts w:asciiTheme="minorHAnsi" w:hAnsiTheme="minorHAnsi"/>
                <w:bCs w:val="0"/>
                <w:sz w:val="20"/>
                <w:szCs w:val="22"/>
              </w:rPr>
            </w:pPr>
          </w:p>
          <w:p w14:paraId="6C5D867F" w14:textId="53E6659E" w:rsidR="00527903" w:rsidRPr="000743A9" w:rsidRDefault="00527903" w:rsidP="00694C06">
            <w:pPr>
              <w:rPr>
                <w:rFonts w:asciiTheme="minorHAnsi" w:hAnsiTheme="minorHAnsi"/>
                <w:sz w:val="20"/>
                <w:szCs w:val="22"/>
              </w:rPr>
            </w:pPr>
          </w:p>
        </w:tc>
        <w:tc>
          <w:tcPr>
            <w:tcW w:w="1795" w:type="dxa"/>
          </w:tcPr>
          <w:p w14:paraId="54796754" w14:textId="3C6E6BAF" w:rsidR="00C64A0A" w:rsidRPr="000743A9" w:rsidRDefault="009D5802" w:rsidP="0009111E">
            <w:pPr>
              <w:cnfStyle w:val="000000100000" w:firstRow="0" w:lastRow="0" w:firstColumn="0" w:lastColumn="0" w:oddVBand="0" w:evenVBand="0" w:oddHBand="1" w:evenHBand="0" w:firstRowFirstColumn="0" w:firstRowLastColumn="0" w:lastRowFirstColumn="0" w:lastRowLastColumn="0"/>
              <w:rPr>
                <w:sz w:val="20"/>
                <w:szCs w:val="22"/>
              </w:rPr>
            </w:pPr>
            <w:r w:rsidRPr="000743A9">
              <w:rPr>
                <w:rFonts w:asciiTheme="minorHAnsi" w:hAnsiTheme="minorHAnsi"/>
                <w:sz w:val="20"/>
                <w:szCs w:val="22"/>
              </w:rPr>
              <w:t>O</w:t>
            </w:r>
            <w:r w:rsidR="004E2F92" w:rsidRPr="000743A9">
              <w:rPr>
                <w:rFonts w:asciiTheme="minorHAnsi" w:hAnsiTheme="minorHAnsi"/>
                <w:sz w:val="20"/>
                <w:szCs w:val="22"/>
              </w:rPr>
              <w:t>perating expense</w:t>
            </w:r>
          </w:p>
        </w:tc>
        <w:tc>
          <w:tcPr>
            <w:tcW w:w="1796" w:type="dxa"/>
          </w:tcPr>
          <w:p w14:paraId="4116AA8E" w14:textId="489CE0FB" w:rsidR="0062437E" w:rsidRPr="000743A9" w:rsidRDefault="004E2F92" w:rsidP="00C8489F">
            <w:pPr>
              <w:cnfStyle w:val="000000100000" w:firstRow="0" w:lastRow="0" w:firstColumn="0" w:lastColumn="0" w:oddVBand="0" w:evenVBand="0" w:oddHBand="1" w:evenHBand="0" w:firstRowFirstColumn="0" w:firstRowLastColumn="0" w:lastRowFirstColumn="0" w:lastRowLastColumn="0"/>
              <w:rPr>
                <w:sz w:val="20"/>
                <w:szCs w:val="22"/>
              </w:rPr>
            </w:pPr>
            <w:r w:rsidRPr="000743A9">
              <w:rPr>
                <w:rFonts w:asciiTheme="minorHAnsi" w:hAnsiTheme="minorHAnsi"/>
                <w:sz w:val="20"/>
                <w:szCs w:val="22"/>
              </w:rPr>
              <w:t>Below the line and therefore uncategorized</w:t>
            </w:r>
          </w:p>
        </w:tc>
        <w:tc>
          <w:tcPr>
            <w:tcW w:w="1795" w:type="dxa"/>
          </w:tcPr>
          <w:p w14:paraId="26E92243" w14:textId="39A0A20C" w:rsidR="00881083" w:rsidRPr="000743A9" w:rsidRDefault="004E2F92" w:rsidP="00AC7916">
            <w:pPr>
              <w:cnfStyle w:val="000000100000" w:firstRow="0" w:lastRow="0" w:firstColumn="0" w:lastColumn="0" w:oddVBand="0" w:evenVBand="0" w:oddHBand="1" w:evenHBand="0" w:firstRowFirstColumn="0" w:firstRowLastColumn="0" w:lastRowFirstColumn="0" w:lastRowLastColumn="0"/>
              <w:rPr>
                <w:sz w:val="20"/>
                <w:szCs w:val="22"/>
              </w:rPr>
            </w:pPr>
            <w:r w:rsidRPr="000743A9">
              <w:rPr>
                <w:rFonts w:asciiTheme="minorHAnsi" w:hAnsiTheme="minorHAnsi"/>
                <w:sz w:val="20"/>
                <w:szCs w:val="22"/>
              </w:rPr>
              <w:t>Non-operating expense</w:t>
            </w:r>
          </w:p>
        </w:tc>
        <w:tc>
          <w:tcPr>
            <w:tcW w:w="1796" w:type="dxa"/>
          </w:tcPr>
          <w:p w14:paraId="62758870" w14:textId="77777777" w:rsidR="004E2F92" w:rsidRPr="000743A9" w:rsidRDefault="004E2F92" w:rsidP="0009111E">
            <w:pPr>
              <w:tabs>
                <w:tab w:val="left" w:pos="140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0743A9">
              <w:rPr>
                <w:rFonts w:asciiTheme="minorHAnsi" w:hAnsiTheme="minorHAnsi"/>
                <w:sz w:val="20"/>
                <w:szCs w:val="22"/>
              </w:rPr>
              <w:t>Operating expense</w:t>
            </w:r>
          </w:p>
          <w:p w14:paraId="6B0A5BE3" w14:textId="77777777" w:rsidR="004E2F92" w:rsidRPr="000743A9" w:rsidRDefault="004E2F92" w:rsidP="0009111E">
            <w:pPr>
              <w:tabs>
                <w:tab w:val="left" w:pos="140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p>
          <w:p w14:paraId="6C4F0A4A" w14:textId="7FE997AA" w:rsidR="00527903" w:rsidRPr="000743A9" w:rsidRDefault="004E2F92" w:rsidP="0009111E">
            <w:pPr>
              <w:tabs>
                <w:tab w:val="left" w:pos="1408"/>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0743A9">
              <w:rPr>
                <w:rFonts w:asciiTheme="minorHAnsi" w:hAnsiTheme="minorHAnsi"/>
                <w:sz w:val="20"/>
                <w:szCs w:val="22"/>
              </w:rPr>
              <w:t>Because they cannot run the business without the equipment/ assets.</w:t>
            </w:r>
          </w:p>
        </w:tc>
      </w:tr>
      <w:tr w:rsidR="003016AF" w:rsidRPr="000743A9" w14:paraId="7C7249FA" w14:textId="77777777" w:rsidTr="001F6ADB">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7488" w:type="dxa"/>
          </w:tcPr>
          <w:p w14:paraId="62AF3D4D" w14:textId="751CA266" w:rsidR="003016AF" w:rsidRPr="000743A9" w:rsidRDefault="003016AF" w:rsidP="003016AF">
            <w:pPr>
              <w:rPr>
                <w:rFonts w:asciiTheme="minorHAnsi" w:hAnsiTheme="minorHAnsi"/>
                <w:bCs w:val="0"/>
                <w:sz w:val="20"/>
                <w:szCs w:val="22"/>
              </w:rPr>
            </w:pPr>
            <w:r w:rsidRPr="000743A9">
              <w:rPr>
                <w:rFonts w:asciiTheme="minorHAnsi" w:hAnsiTheme="minorHAnsi"/>
                <w:bCs w:val="0"/>
                <w:sz w:val="20"/>
                <w:szCs w:val="22"/>
              </w:rPr>
              <w:t>FASB 360-10-50-1:</w:t>
            </w:r>
          </w:p>
          <w:p w14:paraId="0CA8770F" w14:textId="77777777" w:rsidR="003016AF" w:rsidRPr="000743A9" w:rsidRDefault="003016AF" w:rsidP="003016AF">
            <w:pPr>
              <w:rPr>
                <w:rFonts w:asciiTheme="minorHAnsi" w:hAnsiTheme="minorHAnsi"/>
                <w:b w:val="0"/>
                <w:bCs w:val="0"/>
                <w:sz w:val="20"/>
                <w:szCs w:val="22"/>
              </w:rPr>
            </w:pPr>
            <w:r w:rsidRPr="000743A9">
              <w:rPr>
                <w:rFonts w:asciiTheme="minorHAnsi" w:hAnsiTheme="minorHAnsi"/>
                <w:b w:val="0"/>
                <w:bCs w:val="0"/>
                <w:sz w:val="20"/>
                <w:szCs w:val="22"/>
              </w:rPr>
              <w:t>Because of the significant effects on financial position and results of operations of the depreciation method or methods used, all of the following disclosures shall be made in the financial statements or in notes thereto:</w:t>
            </w:r>
          </w:p>
          <w:p w14:paraId="35EC32A5" w14:textId="77777777" w:rsidR="003016AF" w:rsidRPr="000743A9" w:rsidRDefault="003016AF" w:rsidP="003016AF">
            <w:pPr>
              <w:rPr>
                <w:rFonts w:asciiTheme="minorHAnsi" w:hAnsiTheme="minorHAnsi"/>
                <w:b w:val="0"/>
                <w:bCs w:val="0"/>
                <w:sz w:val="20"/>
                <w:szCs w:val="22"/>
              </w:rPr>
            </w:pPr>
          </w:p>
          <w:p w14:paraId="50CD5A86" w14:textId="77777777" w:rsidR="003016AF" w:rsidRPr="000743A9" w:rsidRDefault="003016AF" w:rsidP="003016AF">
            <w:pPr>
              <w:pStyle w:val="ListParagraph"/>
              <w:numPr>
                <w:ilvl w:val="0"/>
                <w:numId w:val="40"/>
              </w:numPr>
              <w:ind w:left="422"/>
              <w:rPr>
                <w:rFonts w:asciiTheme="minorHAnsi" w:hAnsiTheme="minorHAnsi"/>
                <w:b w:val="0"/>
                <w:sz w:val="20"/>
                <w:szCs w:val="22"/>
              </w:rPr>
            </w:pPr>
            <w:r w:rsidRPr="000743A9">
              <w:rPr>
                <w:rFonts w:asciiTheme="minorHAnsi" w:hAnsiTheme="minorHAnsi"/>
                <w:b w:val="0"/>
                <w:sz w:val="20"/>
                <w:szCs w:val="22"/>
              </w:rPr>
              <w:t>Depreciation expense for the period</w:t>
            </w:r>
          </w:p>
          <w:p w14:paraId="417C5AF3" w14:textId="77777777" w:rsidR="003016AF" w:rsidRPr="000743A9" w:rsidRDefault="003016AF" w:rsidP="003016AF">
            <w:pPr>
              <w:pStyle w:val="ListParagraph"/>
              <w:numPr>
                <w:ilvl w:val="0"/>
                <w:numId w:val="40"/>
              </w:numPr>
              <w:ind w:left="422"/>
              <w:rPr>
                <w:rFonts w:asciiTheme="minorHAnsi" w:hAnsiTheme="minorHAnsi"/>
                <w:b w:val="0"/>
                <w:sz w:val="20"/>
                <w:szCs w:val="22"/>
              </w:rPr>
            </w:pPr>
            <w:r w:rsidRPr="000743A9">
              <w:rPr>
                <w:rFonts w:asciiTheme="minorHAnsi" w:hAnsiTheme="minorHAnsi"/>
                <w:b w:val="0"/>
                <w:sz w:val="20"/>
                <w:szCs w:val="22"/>
              </w:rPr>
              <w:t>Balances of major classes of depreciable assets, by nature or function, at the balance sheet date</w:t>
            </w:r>
          </w:p>
          <w:p w14:paraId="3AD3A33D" w14:textId="77777777" w:rsidR="003016AF" w:rsidRPr="000743A9" w:rsidRDefault="003016AF" w:rsidP="003016AF">
            <w:pPr>
              <w:pStyle w:val="ListParagraph"/>
              <w:numPr>
                <w:ilvl w:val="0"/>
                <w:numId w:val="40"/>
              </w:numPr>
              <w:ind w:left="422"/>
              <w:rPr>
                <w:rFonts w:asciiTheme="minorHAnsi" w:hAnsiTheme="minorHAnsi"/>
                <w:b w:val="0"/>
                <w:sz w:val="20"/>
                <w:szCs w:val="22"/>
              </w:rPr>
            </w:pPr>
            <w:r w:rsidRPr="000743A9">
              <w:rPr>
                <w:rFonts w:asciiTheme="minorHAnsi" w:hAnsiTheme="minorHAnsi"/>
                <w:b w:val="0"/>
                <w:sz w:val="20"/>
                <w:szCs w:val="22"/>
              </w:rPr>
              <w:t>Accumulated depreciation, either by major classes of depreciable assets or in total, at the balance sheet date</w:t>
            </w:r>
          </w:p>
          <w:p w14:paraId="613E3168" w14:textId="13342BF1" w:rsidR="003016AF" w:rsidRPr="000743A9" w:rsidRDefault="003016AF" w:rsidP="003016AF">
            <w:pPr>
              <w:pStyle w:val="ListParagraph"/>
              <w:numPr>
                <w:ilvl w:val="0"/>
                <w:numId w:val="40"/>
              </w:numPr>
              <w:ind w:left="422"/>
              <w:rPr>
                <w:rFonts w:asciiTheme="minorHAnsi" w:hAnsiTheme="minorHAnsi"/>
                <w:b w:val="0"/>
                <w:sz w:val="20"/>
                <w:szCs w:val="22"/>
              </w:rPr>
            </w:pPr>
            <w:r w:rsidRPr="000743A9">
              <w:rPr>
                <w:rFonts w:asciiTheme="minorHAnsi" w:hAnsiTheme="minorHAnsi"/>
                <w:b w:val="0"/>
                <w:sz w:val="20"/>
                <w:szCs w:val="22"/>
              </w:rPr>
              <w:t>A general description of the method or methods used in computing depreciation with respect to major classes of depreciable assets.</w:t>
            </w:r>
          </w:p>
        </w:tc>
        <w:tc>
          <w:tcPr>
            <w:tcW w:w="1795" w:type="dxa"/>
          </w:tcPr>
          <w:p w14:paraId="29FA5952" w14:textId="643202EC"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sz w:val="20"/>
                <w:szCs w:val="22"/>
              </w:rPr>
            </w:pPr>
            <w:r w:rsidRPr="000743A9">
              <w:rPr>
                <w:rFonts w:asciiTheme="minorHAnsi" w:hAnsiTheme="minorHAnsi"/>
                <w:sz w:val="20"/>
                <w:szCs w:val="22"/>
              </w:rPr>
              <w:t>Follows Alternative Guidance</w:t>
            </w:r>
          </w:p>
        </w:tc>
        <w:tc>
          <w:tcPr>
            <w:tcW w:w="1796" w:type="dxa"/>
          </w:tcPr>
          <w:p w14:paraId="04415FE8" w14:textId="6DA7008E"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sz w:val="20"/>
                <w:szCs w:val="22"/>
              </w:rPr>
            </w:pPr>
            <w:r w:rsidRPr="000743A9">
              <w:rPr>
                <w:rFonts w:asciiTheme="minorHAnsi" w:hAnsiTheme="minorHAnsi"/>
                <w:sz w:val="20"/>
                <w:szCs w:val="22"/>
              </w:rPr>
              <w:t>Follows Alternative Guidance</w:t>
            </w:r>
          </w:p>
        </w:tc>
        <w:tc>
          <w:tcPr>
            <w:tcW w:w="1795" w:type="dxa"/>
          </w:tcPr>
          <w:p w14:paraId="5B08F4D6" w14:textId="3ACD4C36"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sz w:val="20"/>
                <w:szCs w:val="22"/>
              </w:rPr>
            </w:pPr>
            <w:r w:rsidRPr="000743A9">
              <w:rPr>
                <w:rFonts w:asciiTheme="minorHAnsi" w:hAnsiTheme="minorHAnsi"/>
                <w:sz w:val="20"/>
                <w:szCs w:val="22"/>
              </w:rPr>
              <w:t>Follows Alternative Guidance</w:t>
            </w:r>
          </w:p>
        </w:tc>
        <w:tc>
          <w:tcPr>
            <w:tcW w:w="1796" w:type="dxa"/>
          </w:tcPr>
          <w:p w14:paraId="08F364E5" w14:textId="70F17A92"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2"/>
              </w:rPr>
            </w:pPr>
            <w:r w:rsidRPr="000743A9">
              <w:rPr>
                <w:rFonts w:asciiTheme="minorHAnsi" w:hAnsiTheme="minorHAnsi"/>
                <w:sz w:val="20"/>
                <w:szCs w:val="22"/>
              </w:rPr>
              <w:t>Follows Current Guidance</w:t>
            </w:r>
          </w:p>
        </w:tc>
      </w:tr>
      <w:tr w:rsidR="003016AF" w:rsidRPr="000743A9" w14:paraId="15FE1898" w14:textId="77777777" w:rsidTr="001F6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8" w:type="dxa"/>
          </w:tcPr>
          <w:p w14:paraId="5EACEACE" w14:textId="77777777" w:rsidR="003016AF" w:rsidRPr="000743A9" w:rsidRDefault="003016AF" w:rsidP="003016AF">
            <w:pPr>
              <w:rPr>
                <w:rFonts w:asciiTheme="minorHAnsi" w:hAnsiTheme="minorHAnsi"/>
                <w:sz w:val="20"/>
                <w:szCs w:val="22"/>
              </w:rPr>
            </w:pPr>
            <w:r w:rsidRPr="000743A9">
              <w:rPr>
                <w:rFonts w:asciiTheme="minorHAnsi" w:hAnsiTheme="minorHAnsi"/>
                <w:sz w:val="20"/>
                <w:szCs w:val="22"/>
              </w:rPr>
              <w:t>SEC Staff Views – Staff Accounting Bulletins Official Text</w:t>
            </w:r>
          </w:p>
          <w:p w14:paraId="32C50564" w14:textId="77777777" w:rsidR="003016AF" w:rsidRPr="000743A9" w:rsidRDefault="003016AF" w:rsidP="003016AF">
            <w:pPr>
              <w:rPr>
                <w:rFonts w:asciiTheme="minorHAnsi" w:hAnsiTheme="minorHAnsi"/>
                <w:sz w:val="20"/>
                <w:szCs w:val="22"/>
              </w:rPr>
            </w:pPr>
            <w:r w:rsidRPr="000743A9">
              <w:rPr>
                <w:rFonts w:asciiTheme="minorHAnsi" w:hAnsiTheme="minorHAnsi"/>
                <w:sz w:val="20"/>
                <w:szCs w:val="22"/>
              </w:rPr>
              <w:t>Topic 11: Miscellaneous Disclosure</w:t>
            </w:r>
          </w:p>
          <w:p w14:paraId="4183829F" w14:textId="4B63A7C8" w:rsidR="003016AF" w:rsidRPr="000743A9" w:rsidRDefault="003016AF" w:rsidP="003016AF">
            <w:pPr>
              <w:rPr>
                <w:rFonts w:asciiTheme="minorHAnsi" w:hAnsiTheme="minorHAnsi"/>
                <w:sz w:val="20"/>
                <w:szCs w:val="22"/>
              </w:rPr>
            </w:pPr>
            <w:r w:rsidRPr="000743A9">
              <w:rPr>
                <w:rFonts w:asciiTheme="minorHAnsi" w:hAnsiTheme="minorHAnsi"/>
                <w:sz w:val="20"/>
                <w:szCs w:val="22"/>
              </w:rPr>
              <w:t>Depreciation and Depletion Excluded from Cost of Sales:</w:t>
            </w:r>
          </w:p>
          <w:p w14:paraId="0F6975B0"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Facts: Company B excludes depreciation and depletion from cost of sales in its income statement.</w:t>
            </w:r>
          </w:p>
          <w:p w14:paraId="5BD4AA4A" w14:textId="77777777" w:rsidR="003016AF" w:rsidRPr="000743A9" w:rsidRDefault="003016AF" w:rsidP="003016AF">
            <w:pPr>
              <w:rPr>
                <w:rFonts w:asciiTheme="minorHAnsi" w:hAnsiTheme="minorHAnsi"/>
                <w:b w:val="0"/>
                <w:sz w:val="20"/>
                <w:szCs w:val="22"/>
              </w:rPr>
            </w:pPr>
          </w:p>
          <w:p w14:paraId="0895D26C"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Question: How should this exclusion be disclosed?</w:t>
            </w:r>
          </w:p>
          <w:p w14:paraId="76B61E2C" w14:textId="77777777" w:rsidR="003016AF" w:rsidRPr="000743A9" w:rsidRDefault="003016AF" w:rsidP="003016AF">
            <w:pPr>
              <w:rPr>
                <w:rFonts w:asciiTheme="minorHAnsi" w:hAnsiTheme="minorHAnsi"/>
                <w:b w:val="0"/>
                <w:sz w:val="20"/>
                <w:szCs w:val="22"/>
              </w:rPr>
            </w:pPr>
            <w:bookmarkStart w:id="0" w:name="_GoBack"/>
            <w:bookmarkEnd w:id="0"/>
          </w:p>
          <w:p w14:paraId="2EAC637B" w14:textId="43B06CE1" w:rsidR="003016AF" w:rsidRPr="000743A9" w:rsidRDefault="003016AF" w:rsidP="003016AF">
            <w:pPr>
              <w:rPr>
                <w:rFonts w:asciiTheme="minorHAnsi" w:hAnsiTheme="minorHAnsi"/>
                <w:sz w:val="20"/>
                <w:szCs w:val="22"/>
              </w:rPr>
            </w:pPr>
            <w:r w:rsidRPr="000743A9">
              <w:rPr>
                <w:rFonts w:asciiTheme="minorHAnsi" w:hAnsiTheme="minorHAnsi"/>
                <w:b w:val="0"/>
                <w:sz w:val="20"/>
                <w:szCs w:val="22"/>
              </w:rPr>
              <w:t>Interpretive Response: If cost of sales or operating expenses exclude charges for depreciation, depletion and amortization of property, plant and equipment, the description of the line item should read somewhat as follows: "Cost of goods sold (exclusive of items shown separately below)" or "Cost of goods sold (exclusive of depreciation shown separately below)." To avoid placing undue emphasis on "cash flow," depreciation, depletion and amortization should not be positioned in the income statement in a manner which results in reporting a figure for income before depreciation.</w:t>
            </w:r>
          </w:p>
        </w:tc>
        <w:tc>
          <w:tcPr>
            <w:tcW w:w="1795" w:type="dxa"/>
          </w:tcPr>
          <w:p w14:paraId="267134A9" w14:textId="3400F414" w:rsidR="003016AF" w:rsidRPr="000743A9" w:rsidRDefault="009D5802"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highlight w:val="yellow"/>
              </w:rPr>
            </w:pPr>
            <w:r w:rsidRPr="000743A9">
              <w:rPr>
                <w:rFonts w:asciiTheme="minorHAnsi" w:hAnsiTheme="minorHAnsi"/>
                <w:sz w:val="20"/>
                <w:szCs w:val="22"/>
              </w:rPr>
              <w:lastRenderedPageBreak/>
              <w:t>Follows Current</w:t>
            </w:r>
            <w:r w:rsidR="003016AF" w:rsidRPr="000743A9">
              <w:rPr>
                <w:rFonts w:asciiTheme="minorHAnsi" w:hAnsiTheme="minorHAnsi"/>
                <w:sz w:val="20"/>
                <w:szCs w:val="22"/>
              </w:rPr>
              <w:t xml:space="preserve"> Guidance</w:t>
            </w:r>
          </w:p>
        </w:tc>
        <w:tc>
          <w:tcPr>
            <w:tcW w:w="1796" w:type="dxa"/>
          </w:tcPr>
          <w:p w14:paraId="5FFDFC1A" w14:textId="3776A603"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highlight w:val="yellow"/>
              </w:rPr>
            </w:pPr>
            <w:r w:rsidRPr="000743A9">
              <w:rPr>
                <w:rFonts w:asciiTheme="minorHAnsi" w:hAnsiTheme="minorHAnsi"/>
                <w:sz w:val="20"/>
                <w:szCs w:val="22"/>
              </w:rPr>
              <w:t>Follows Alternative Guidance</w:t>
            </w:r>
          </w:p>
        </w:tc>
        <w:tc>
          <w:tcPr>
            <w:tcW w:w="1795" w:type="dxa"/>
          </w:tcPr>
          <w:p w14:paraId="2DBD60F1" w14:textId="58526D21"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highlight w:val="yellow"/>
              </w:rPr>
            </w:pPr>
            <w:r w:rsidRPr="000743A9">
              <w:rPr>
                <w:rFonts w:asciiTheme="minorHAnsi" w:hAnsiTheme="minorHAnsi"/>
                <w:sz w:val="20"/>
                <w:szCs w:val="22"/>
              </w:rPr>
              <w:t>Follows Alternative Guidance</w:t>
            </w:r>
          </w:p>
        </w:tc>
        <w:tc>
          <w:tcPr>
            <w:tcW w:w="1796" w:type="dxa"/>
          </w:tcPr>
          <w:p w14:paraId="553CBBD1" w14:textId="14AA2814"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highlight w:val="yellow"/>
              </w:rPr>
            </w:pPr>
            <w:r w:rsidRPr="000743A9">
              <w:rPr>
                <w:rFonts w:asciiTheme="minorHAnsi" w:hAnsiTheme="minorHAnsi"/>
                <w:sz w:val="20"/>
                <w:szCs w:val="22"/>
              </w:rPr>
              <w:t>Follows Current Guidance</w:t>
            </w:r>
          </w:p>
        </w:tc>
      </w:tr>
      <w:tr w:rsidR="003016AF" w:rsidRPr="000743A9" w14:paraId="65911FF3" w14:textId="77777777" w:rsidTr="001F6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8" w:type="dxa"/>
          </w:tcPr>
          <w:p w14:paraId="502550EC" w14:textId="66EA10F2" w:rsidR="003016AF" w:rsidRPr="000743A9" w:rsidRDefault="001B37EC" w:rsidP="003016AF">
            <w:pPr>
              <w:rPr>
                <w:rFonts w:asciiTheme="minorHAnsi" w:hAnsiTheme="minorHAnsi"/>
                <w:sz w:val="20"/>
                <w:szCs w:val="22"/>
              </w:rPr>
            </w:pPr>
            <w:r w:rsidRPr="000743A9">
              <w:rPr>
                <w:rFonts w:asciiTheme="minorHAnsi" w:hAnsiTheme="minorHAnsi"/>
                <w:sz w:val="20"/>
                <w:szCs w:val="22"/>
              </w:rPr>
              <w:t xml:space="preserve">FMR Volume 13, Chapter </w:t>
            </w:r>
            <w:r w:rsidR="009D6263" w:rsidRPr="000743A9">
              <w:rPr>
                <w:rFonts w:asciiTheme="minorHAnsi" w:hAnsiTheme="minorHAnsi"/>
                <w:sz w:val="20"/>
                <w:szCs w:val="22"/>
              </w:rPr>
              <w:t>5</w:t>
            </w:r>
            <w:r w:rsidRPr="000743A9">
              <w:rPr>
                <w:rFonts w:asciiTheme="minorHAnsi" w:hAnsiTheme="minorHAnsi"/>
                <w:sz w:val="20"/>
                <w:szCs w:val="22"/>
              </w:rPr>
              <w:t xml:space="preserve">. </w:t>
            </w:r>
            <w:r w:rsidR="003016AF" w:rsidRPr="000743A9">
              <w:rPr>
                <w:rFonts w:asciiTheme="minorHAnsi" w:hAnsiTheme="minorHAnsi"/>
                <w:sz w:val="20"/>
                <w:szCs w:val="22"/>
              </w:rPr>
              <w:t>050401</w:t>
            </w:r>
            <w:r w:rsidRPr="000743A9">
              <w:rPr>
                <w:rFonts w:asciiTheme="minorHAnsi" w:hAnsiTheme="minorHAnsi"/>
                <w:sz w:val="20"/>
                <w:szCs w:val="22"/>
              </w:rPr>
              <w:t>.</w:t>
            </w:r>
            <w:r w:rsidR="003016AF" w:rsidRPr="000743A9">
              <w:rPr>
                <w:rFonts w:asciiTheme="minorHAnsi" w:hAnsiTheme="minorHAnsi"/>
                <w:sz w:val="20"/>
                <w:szCs w:val="22"/>
              </w:rPr>
              <w:t xml:space="preserve"> Recognition: </w:t>
            </w:r>
          </w:p>
          <w:p w14:paraId="2C5433BA" w14:textId="61B9CD93" w:rsidR="003016AF" w:rsidRPr="000743A9" w:rsidRDefault="001B37EC" w:rsidP="003016AF">
            <w:pPr>
              <w:rPr>
                <w:rFonts w:asciiTheme="minorHAnsi" w:hAnsiTheme="minorHAnsi"/>
                <w:b w:val="0"/>
                <w:bCs w:val="0"/>
                <w:sz w:val="20"/>
                <w:szCs w:val="22"/>
              </w:rPr>
            </w:pPr>
            <w:r w:rsidRPr="000743A9">
              <w:rPr>
                <w:rFonts w:asciiTheme="minorHAnsi" w:hAnsiTheme="minorHAnsi"/>
                <w:b w:val="0"/>
                <w:bCs w:val="0"/>
                <w:sz w:val="20"/>
                <w:szCs w:val="22"/>
              </w:rPr>
              <w:t xml:space="preserve">NAFIs </w:t>
            </w:r>
            <w:r w:rsidR="00366161" w:rsidRPr="000743A9">
              <w:rPr>
                <w:rFonts w:asciiTheme="minorHAnsi" w:hAnsiTheme="minorHAnsi"/>
                <w:b w:val="0"/>
                <w:bCs w:val="0"/>
                <w:sz w:val="20"/>
                <w:szCs w:val="22"/>
              </w:rPr>
              <w:t>must recognize</w:t>
            </w:r>
            <w:r w:rsidRPr="000743A9">
              <w:rPr>
                <w:rFonts w:asciiTheme="minorHAnsi" w:hAnsiTheme="minorHAnsi"/>
                <w:b w:val="0"/>
                <w:bCs w:val="0"/>
                <w:sz w:val="20"/>
                <w:szCs w:val="22"/>
              </w:rPr>
              <w:t xml:space="preserve"> costs</w:t>
            </w:r>
            <w:r w:rsidR="003016AF" w:rsidRPr="000743A9">
              <w:rPr>
                <w:rFonts w:asciiTheme="minorHAnsi" w:hAnsiTheme="minorHAnsi"/>
                <w:b w:val="0"/>
                <w:bCs w:val="0"/>
                <w:sz w:val="20"/>
                <w:szCs w:val="22"/>
              </w:rPr>
              <w:t xml:space="preserve"> as an expense in the period that the </w:t>
            </w:r>
            <w:r w:rsidRPr="000743A9">
              <w:rPr>
                <w:rFonts w:asciiTheme="minorHAnsi" w:hAnsiTheme="minorHAnsi"/>
                <w:b w:val="0"/>
                <w:bCs w:val="0"/>
                <w:sz w:val="20"/>
                <w:szCs w:val="22"/>
              </w:rPr>
              <w:t>income</w:t>
            </w:r>
            <w:r w:rsidR="003016AF" w:rsidRPr="000743A9">
              <w:rPr>
                <w:rFonts w:asciiTheme="minorHAnsi" w:hAnsiTheme="minorHAnsi"/>
                <w:b w:val="0"/>
                <w:bCs w:val="0"/>
                <w:sz w:val="20"/>
                <w:szCs w:val="22"/>
              </w:rPr>
              <w:t xml:space="preserve"> with which they are associated is recognized (the matching principle). Cost elements are included in inventory and expensed when the items are sold and </w:t>
            </w:r>
            <w:r w:rsidRPr="000743A9">
              <w:rPr>
                <w:rFonts w:asciiTheme="minorHAnsi" w:hAnsiTheme="minorHAnsi"/>
                <w:b w:val="0"/>
                <w:bCs w:val="0"/>
                <w:sz w:val="20"/>
                <w:szCs w:val="22"/>
              </w:rPr>
              <w:t>income</w:t>
            </w:r>
            <w:r w:rsidR="003016AF" w:rsidRPr="000743A9">
              <w:rPr>
                <w:rFonts w:asciiTheme="minorHAnsi" w:hAnsiTheme="minorHAnsi"/>
                <w:b w:val="0"/>
                <w:bCs w:val="0"/>
                <w:sz w:val="20"/>
                <w:szCs w:val="22"/>
              </w:rPr>
              <w:t xml:space="preserve"> from the sale is recognized. If no connection with </w:t>
            </w:r>
            <w:r w:rsidRPr="000743A9">
              <w:rPr>
                <w:rFonts w:asciiTheme="minorHAnsi" w:hAnsiTheme="minorHAnsi"/>
                <w:b w:val="0"/>
                <w:bCs w:val="0"/>
                <w:sz w:val="20"/>
                <w:szCs w:val="22"/>
              </w:rPr>
              <w:t>income</w:t>
            </w:r>
            <w:r w:rsidR="003016AF" w:rsidRPr="000743A9">
              <w:rPr>
                <w:rFonts w:asciiTheme="minorHAnsi" w:hAnsiTheme="minorHAnsi"/>
                <w:b w:val="0"/>
                <w:bCs w:val="0"/>
                <w:sz w:val="20"/>
                <w:szCs w:val="22"/>
              </w:rPr>
              <w:t xml:space="preserve"> can be established, then the asset’s cost is allocated to the accounting period benefited in a systematic and rational manner. This form of expense recognition involves the expected length of benefit and the relationship and cost of each period (e.g., depreciation of fixed assets, amortization of intangibles, and allocation of rent and insurance). All other costs are recognized in the accounting period in which they are incurred.</w:t>
            </w:r>
          </w:p>
          <w:p w14:paraId="28F3CB8D" w14:textId="17DA4046" w:rsidR="003016AF" w:rsidRPr="000743A9" w:rsidRDefault="003016AF" w:rsidP="003016AF">
            <w:pPr>
              <w:rPr>
                <w:rFonts w:asciiTheme="minorHAnsi" w:hAnsiTheme="minorHAnsi"/>
                <w:sz w:val="20"/>
                <w:szCs w:val="22"/>
              </w:rPr>
            </w:pPr>
          </w:p>
        </w:tc>
        <w:tc>
          <w:tcPr>
            <w:tcW w:w="1795" w:type="dxa"/>
          </w:tcPr>
          <w:p w14:paraId="2BD49F04" w14:textId="1BFFDC91" w:rsidR="003016AF" w:rsidRPr="000743A9" w:rsidRDefault="009D5802"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t>Follows Current</w:t>
            </w:r>
            <w:r w:rsidR="003016AF" w:rsidRPr="000743A9">
              <w:rPr>
                <w:rFonts w:asciiTheme="minorHAnsi" w:hAnsiTheme="minorHAnsi"/>
                <w:sz w:val="20"/>
                <w:szCs w:val="22"/>
              </w:rPr>
              <w:t xml:space="preserve"> Guidance</w:t>
            </w:r>
          </w:p>
        </w:tc>
        <w:tc>
          <w:tcPr>
            <w:tcW w:w="1796" w:type="dxa"/>
          </w:tcPr>
          <w:p w14:paraId="16E52F2D" w14:textId="3A0585D3"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t>Follows Alternative Guidance</w:t>
            </w:r>
          </w:p>
        </w:tc>
        <w:tc>
          <w:tcPr>
            <w:tcW w:w="1795" w:type="dxa"/>
          </w:tcPr>
          <w:p w14:paraId="0D6844DC" w14:textId="00EBD376"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2"/>
              </w:rPr>
            </w:pPr>
            <w:r w:rsidRPr="000743A9">
              <w:rPr>
                <w:rFonts w:asciiTheme="minorHAnsi" w:hAnsiTheme="minorHAnsi"/>
                <w:sz w:val="20"/>
                <w:szCs w:val="22"/>
              </w:rPr>
              <w:t>Follows Alternative Guidance</w:t>
            </w:r>
          </w:p>
        </w:tc>
        <w:tc>
          <w:tcPr>
            <w:tcW w:w="1796" w:type="dxa"/>
          </w:tcPr>
          <w:p w14:paraId="15B54127" w14:textId="721C073E"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t>Follows Current Guidance</w:t>
            </w:r>
          </w:p>
        </w:tc>
      </w:tr>
      <w:tr w:rsidR="003016AF" w:rsidRPr="000743A9" w14:paraId="45E6118E" w14:textId="77777777" w:rsidTr="001F6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8" w:type="dxa"/>
          </w:tcPr>
          <w:p w14:paraId="70F8B005" w14:textId="7B704F5F" w:rsidR="003016AF" w:rsidRPr="000743A9" w:rsidRDefault="003016AF" w:rsidP="003016AF">
            <w:pPr>
              <w:rPr>
                <w:rFonts w:asciiTheme="minorHAnsi" w:hAnsiTheme="minorHAnsi"/>
                <w:sz w:val="20"/>
                <w:szCs w:val="22"/>
              </w:rPr>
            </w:pPr>
            <w:r w:rsidRPr="000743A9">
              <w:rPr>
                <w:rFonts w:asciiTheme="minorHAnsi" w:hAnsiTheme="minorHAnsi"/>
                <w:sz w:val="20"/>
                <w:szCs w:val="22"/>
              </w:rPr>
              <w:t>FMR Volume 13</w:t>
            </w:r>
            <w:r w:rsidR="00255C93" w:rsidRPr="000743A9">
              <w:rPr>
                <w:rFonts w:asciiTheme="minorHAnsi" w:hAnsiTheme="minorHAnsi"/>
                <w:sz w:val="20"/>
                <w:szCs w:val="22"/>
              </w:rPr>
              <w:t>, Chapter 5,</w:t>
            </w:r>
            <w:r w:rsidRPr="000743A9">
              <w:rPr>
                <w:rFonts w:asciiTheme="minorHAnsi" w:hAnsiTheme="minorHAnsi"/>
                <w:sz w:val="20"/>
                <w:szCs w:val="22"/>
              </w:rPr>
              <w:t xml:space="preserve"> 050602</w:t>
            </w:r>
            <w:r w:rsidR="00255C93" w:rsidRPr="000743A9">
              <w:rPr>
                <w:rFonts w:asciiTheme="minorHAnsi" w:hAnsiTheme="minorHAnsi"/>
                <w:sz w:val="20"/>
                <w:szCs w:val="22"/>
              </w:rPr>
              <w:t>.</w:t>
            </w:r>
            <w:r w:rsidRPr="000743A9">
              <w:rPr>
                <w:rFonts w:asciiTheme="minorHAnsi" w:hAnsiTheme="minorHAnsi"/>
                <w:sz w:val="20"/>
                <w:szCs w:val="22"/>
              </w:rPr>
              <w:t xml:space="preserve"> Non-operating Expenses</w:t>
            </w:r>
            <w:r w:rsidR="00255C93" w:rsidRPr="000743A9">
              <w:rPr>
                <w:rFonts w:asciiTheme="minorHAnsi" w:hAnsiTheme="minorHAnsi"/>
                <w:sz w:val="20"/>
                <w:szCs w:val="22"/>
              </w:rPr>
              <w:t xml:space="preserve"> (April 2013)</w:t>
            </w:r>
            <w:r w:rsidRPr="000743A9">
              <w:rPr>
                <w:rFonts w:asciiTheme="minorHAnsi" w:hAnsiTheme="minorHAnsi"/>
                <w:sz w:val="20"/>
                <w:szCs w:val="22"/>
              </w:rPr>
              <w:t xml:space="preserve">: </w:t>
            </w:r>
          </w:p>
          <w:p w14:paraId="195EDC37" w14:textId="37334C89"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Non-operating expenses are not related to NAFI’s primary operations and consist of depreciation, interest, prior period expenses, and losses.</w:t>
            </w:r>
          </w:p>
        </w:tc>
        <w:tc>
          <w:tcPr>
            <w:tcW w:w="1795" w:type="dxa"/>
          </w:tcPr>
          <w:p w14:paraId="6732D942" w14:textId="57EA7545" w:rsidR="003016AF" w:rsidRPr="000743A9" w:rsidRDefault="003016AF" w:rsidP="009D580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0743A9">
              <w:rPr>
                <w:rFonts w:asciiTheme="minorHAnsi" w:hAnsiTheme="minorHAnsi"/>
                <w:sz w:val="20"/>
                <w:szCs w:val="22"/>
              </w:rPr>
              <w:t xml:space="preserve">Follows </w:t>
            </w:r>
            <w:r w:rsidR="009D5802" w:rsidRPr="000743A9">
              <w:rPr>
                <w:rFonts w:asciiTheme="minorHAnsi" w:hAnsiTheme="minorHAnsi"/>
                <w:sz w:val="20"/>
                <w:szCs w:val="22"/>
              </w:rPr>
              <w:t>Alternative</w:t>
            </w:r>
            <w:r w:rsidRPr="000743A9">
              <w:rPr>
                <w:rFonts w:asciiTheme="minorHAnsi" w:hAnsiTheme="minorHAnsi"/>
                <w:sz w:val="20"/>
                <w:szCs w:val="22"/>
              </w:rPr>
              <w:t xml:space="preserve"> Guidance</w:t>
            </w:r>
          </w:p>
        </w:tc>
        <w:tc>
          <w:tcPr>
            <w:tcW w:w="1796" w:type="dxa"/>
          </w:tcPr>
          <w:p w14:paraId="24C5AA6C" w14:textId="4064220F"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0743A9">
              <w:rPr>
                <w:rFonts w:asciiTheme="minorHAnsi" w:hAnsiTheme="minorHAnsi"/>
                <w:sz w:val="20"/>
                <w:szCs w:val="22"/>
              </w:rPr>
              <w:t>Follows Alternative Guidance</w:t>
            </w:r>
          </w:p>
        </w:tc>
        <w:tc>
          <w:tcPr>
            <w:tcW w:w="1795" w:type="dxa"/>
          </w:tcPr>
          <w:p w14:paraId="4E27A4DC" w14:textId="5C7B7AC8"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0743A9">
              <w:rPr>
                <w:rFonts w:asciiTheme="minorHAnsi" w:hAnsiTheme="minorHAnsi"/>
                <w:sz w:val="20"/>
                <w:szCs w:val="22"/>
              </w:rPr>
              <w:t>Follows Alternative Guidance</w:t>
            </w:r>
          </w:p>
        </w:tc>
        <w:tc>
          <w:tcPr>
            <w:tcW w:w="1796" w:type="dxa"/>
          </w:tcPr>
          <w:p w14:paraId="61EC6B87" w14:textId="082222A0"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0743A9">
              <w:rPr>
                <w:rFonts w:asciiTheme="minorHAnsi" w:hAnsiTheme="minorHAnsi"/>
                <w:sz w:val="20"/>
                <w:szCs w:val="22"/>
              </w:rPr>
              <w:t>Follows Alternative Guidance</w:t>
            </w:r>
          </w:p>
        </w:tc>
      </w:tr>
      <w:tr w:rsidR="003016AF" w:rsidRPr="000743A9" w14:paraId="250F7CC1" w14:textId="77777777" w:rsidTr="00A82098">
        <w:trPr>
          <w:cnfStyle w:val="000000010000" w:firstRow="0" w:lastRow="0" w:firstColumn="0" w:lastColumn="0" w:oddVBand="0" w:evenVBand="0" w:oddHBand="0" w:evenHBand="1"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7488" w:type="dxa"/>
          </w:tcPr>
          <w:p w14:paraId="79D23344" w14:textId="49287674" w:rsidR="003016AF" w:rsidRPr="000743A9" w:rsidRDefault="003016AF" w:rsidP="003016AF">
            <w:pPr>
              <w:rPr>
                <w:rFonts w:asciiTheme="minorHAnsi" w:hAnsiTheme="minorHAnsi"/>
                <w:sz w:val="20"/>
                <w:szCs w:val="22"/>
              </w:rPr>
            </w:pPr>
            <w:r w:rsidRPr="000743A9">
              <w:rPr>
                <w:rFonts w:asciiTheme="minorHAnsi" w:hAnsiTheme="minorHAnsi"/>
                <w:sz w:val="20"/>
                <w:szCs w:val="22"/>
              </w:rPr>
              <w:t>Department of Treasury - U.S. Government Standard General Ledger (USSGL):</w:t>
            </w:r>
          </w:p>
          <w:p w14:paraId="54024C1B" w14:textId="60B1E050" w:rsidR="003016AF" w:rsidRPr="000743A9" w:rsidRDefault="003016AF" w:rsidP="003016AF">
            <w:pPr>
              <w:rPr>
                <w:rFonts w:asciiTheme="minorHAnsi" w:hAnsiTheme="minorHAnsi" w:cs="Tahoma"/>
                <w:b w:val="0"/>
                <w:bCs w:val="0"/>
                <w:color w:val="000000"/>
                <w:sz w:val="20"/>
                <w:szCs w:val="22"/>
              </w:rPr>
            </w:pPr>
            <w:r w:rsidRPr="000743A9">
              <w:rPr>
                <w:rFonts w:asciiTheme="minorHAnsi" w:hAnsiTheme="minorHAnsi" w:cs="Tahoma"/>
                <w:b w:val="0"/>
                <w:bCs w:val="0"/>
                <w:color w:val="000000"/>
                <w:sz w:val="20"/>
                <w:szCs w:val="22"/>
              </w:rPr>
              <w:t>USSGL reports a Statement of Net Cost and does not report an Income Statement; therefore, they do not distinguish between operating and non-operating for depreciation expense.</w:t>
            </w:r>
          </w:p>
        </w:tc>
        <w:tc>
          <w:tcPr>
            <w:tcW w:w="1795" w:type="dxa"/>
          </w:tcPr>
          <w:p w14:paraId="772E974D" w14:textId="10928A12"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t>N/A</w:t>
            </w:r>
          </w:p>
        </w:tc>
        <w:tc>
          <w:tcPr>
            <w:tcW w:w="1796" w:type="dxa"/>
          </w:tcPr>
          <w:p w14:paraId="516F499A" w14:textId="60AB9F48"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t>N/A</w:t>
            </w:r>
          </w:p>
        </w:tc>
        <w:tc>
          <w:tcPr>
            <w:tcW w:w="1795" w:type="dxa"/>
          </w:tcPr>
          <w:p w14:paraId="356770B0" w14:textId="330A6A4B"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t>N/A</w:t>
            </w:r>
          </w:p>
        </w:tc>
        <w:tc>
          <w:tcPr>
            <w:tcW w:w="1796" w:type="dxa"/>
          </w:tcPr>
          <w:p w14:paraId="5C5ADE50" w14:textId="319C909F"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t>N/A</w:t>
            </w:r>
          </w:p>
        </w:tc>
      </w:tr>
      <w:tr w:rsidR="003016AF" w:rsidRPr="000743A9" w14:paraId="57394787" w14:textId="77777777" w:rsidTr="001F6ADB">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7488" w:type="dxa"/>
          </w:tcPr>
          <w:p w14:paraId="46553246" w14:textId="77777777" w:rsidR="003016AF" w:rsidRPr="000743A9" w:rsidRDefault="003016AF" w:rsidP="003016AF">
            <w:pPr>
              <w:rPr>
                <w:rFonts w:asciiTheme="minorHAnsi" w:hAnsiTheme="minorHAnsi"/>
                <w:color w:val="000000" w:themeColor="text1"/>
                <w:sz w:val="20"/>
                <w:szCs w:val="22"/>
              </w:rPr>
            </w:pPr>
            <w:r w:rsidRPr="000743A9">
              <w:rPr>
                <w:rFonts w:asciiTheme="minorHAnsi" w:hAnsiTheme="minorHAnsi"/>
                <w:color w:val="000000" w:themeColor="text1"/>
                <w:sz w:val="20"/>
                <w:szCs w:val="22"/>
              </w:rPr>
              <w:t xml:space="preserve">Industry Practice - Disney:  </w:t>
            </w:r>
          </w:p>
          <w:p w14:paraId="20586B32" w14:textId="648D93A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 xml:space="preserve">Disney’s consolidated statement of income does not explicitly differentiate between operating and non-operating expenses.  However, typical non-operating expenses (i.e. interest income/expense) are separated from depreciation. </w:t>
            </w:r>
          </w:p>
          <w:p w14:paraId="7B152551" w14:textId="77777777" w:rsidR="003016AF" w:rsidRPr="000743A9" w:rsidRDefault="003016AF" w:rsidP="003016AF">
            <w:pPr>
              <w:rPr>
                <w:rFonts w:asciiTheme="minorHAnsi" w:hAnsiTheme="minorHAnsi"/>
                <w:b w:val="0"/>
                <w:sz w:val="20"/>
                <w:szCs w:val="22"/>
              </w:rPr>
            </w:pPr>
          </w:p>
          <w:p w14:paraId="668811D4" w14:textId="0D20F2D2" w:rsidR="003016AF" w:rsidRPr="000743A9" w:rsidRDefault="003016AF" w:rsidP="003016AF">
            <w:pPr>
              <w:rPr>
                <w:rFonts w:asciiTheme="minorHAnsi" w:hAnsiTheme="minorHAnsi"/>
                <w:b w:val="0"/>
                <w:i/>
                <w:sz w:val="20"/>
                <w:szCs w:val="22"/>
              </w:rPr>
            </w:pPr>
            <w:r w:rsidRPr="000743A9">
              <w:rPr>
                <w:rFonts w:asciiTheme="minorHAnsi" w:hAnsiTheme="minorHAnsi"/>
                <w:b w:val="0"/>
                <w:i/>
                <w:sz w:val="20"/>
                <w:szCs w:val="22"/>
              </w:rPr>
              <w:t>Consolidated Statement of Income:</w:t>
            </w:r>
          </w:p>
          <w:p w14:paraId="242BC895"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Services Revenue</w:t>
            </w:r>
          </w:p>
          <w:p w14:paraId="3EBAB78C"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Products Revenue</w:t>
            </w:r>
          </w:p>
          <w:p w14:paraId="1C205146" w14:textId="77777777" w:rsidR="003016AF" w:rsidRPr="000743A9" w:rsidRDefault="003016AF" w:rsidP="003016AF">
            <w:pPr>
              <w:rPr>
                <w:rFonts w:asciiTheme="minorHAnsi" w:hAnsiTheme="minorHAnsi"/>
                <w:b w:val="0"/>
                <w:sz w:val="20"/>
                <w:szCs w:val="22"/>
                <w:u w:val="single"/>
              </w:rPr>
            </w:pPr>
            <w:r w:rsidRPr="000743A9">
              <w:rPr>
                <w:rFonts w:asciiTheme="minorHAnsi" w:hAnsiTheme="minorHAnsi"/>
                <w:b w:val="0"/>
                <w:sz w:val="20"/>
                <w:szCs w:val="22"/>
                <w:u w:val="single"/>
              </w:rPr>
              <w:t>Total revenues</w:t>
            </w:r>
          </w:p>
          <w:p w14:paraId="1EDAB4FC"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Cost of services (exclusive of depreciation and amortization)</w:t>
            </w:r>
          </w:p>
          <w:p w14:paraId="475DF71F"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Cost of products (exclusive of depreciation and amortization)</w:t>
            </w:r>
          </w:p>
          <w:p w14:paraId="7ADE365A"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lastRenderedPageBreak/>
              <w:t>Selling, general, administrative and other</w:t>
            </w:r>
          </w:p>
          <w:p w14:paraId="39D80F96" w14:textId="77777777" w:rsidR="003016AF" w:rsidRPr="000743A9" w:rsidRDefault="003016AF" w:rsidP="003016AF">
            <w:pPr>
              <w:rPr>
                <w:rFonts w:asciiTheme="minorHAnsi" w:hAnsiTheme="minorHAnsi"/>
                <w:sz w:val="20"/>
                <w:szCs w:val="22"/>
              </w:rPr>
            </w:pPr>
            <w:r w:rsidRPr="000743A9">
              <w:rPr>
                <w:rFonts w:asciiTheme="minorHAnsi" w:hAnsiTheme="minorHAnsi"/>
                <w:sz w:val="20"/>
                <w:szCs w:val="22"/>
              </w:rPr>
              <w:t>Depreciation and amortization</w:t>
            </w:r>
          </w:p>
          <w:p w14:paraId="30DAAEC2" w14:textId="77777777" w:rsidR="003016AF" w:rsidRPr="000743A9" w:rsidRDefault="003016AF" w:rsidP="003016AF">
            <w:pPr>
              <w:rPr>
                <w:rFonts w:asciiTheme="minorHAnsi" w:hAnsiTheme="minorHAnsi"/>
                <w:b w:val="0"/>
                <w:sz w:val="20"/>
                <w:szCs w:val="22"/>
                <w:u w:val="single"/>
              </w:rPr>
            </w:pPr>
            <w:r w:rsidRPr="000743A9">
              <w:rPr>
                <w:rFonts w:asciiTheme="minorHAnsi" w:hAnsiTheme="minorHAnsi"/>
                <w:b w:val="0"/>
                <w:sz w:val="20"/>
                <w:szCs w:val="22"/>
                <w:u w:val="single"/>
              </w:rPr>
              <w:t>Total costs and expenses</w:t>
            </w:r>
          </w:p>
          <w:p w14:paraId="506F03F8"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Restructuring and impairment charges</w:t>
            </w:r>
          </w:p>
          <w:p w14:paraId="4DF82379"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Other income/(expense), net</w:t>
            </w:r>
          </w:p>
          <w:p w14:paraId="4375C5C1"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Interest income/(expense), net</w:t>
            </w:r>
          </w:p>
          <w:p w14:paraId="18304D11"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Equity in the income of investees</w:t>
            </w:r>
          </w:p>
          <w:p w14:paraId="10093163" w14:textId="77777777" w:rsidR="003016AF" w:rsidRPr="000743A9" w:rsidRDefault="003016AF" w:rsidP="003016AF">
            <w:pPr>
              <w:rPr>
                <w:rFonts w:asciiTheme="minorHAnsi" w:hAnsiTheme="minorHAnsi"/>
                <w:b w:val="0"/>
                <w:sz w:val="20"/>
                <w:szCs w:val="22"/>
                <w:u w:val="single"/>
              </w:rPr>
            </w:pPr>
            <w:r w:rsidRPr="000743A9">
              <w:rPr>
                <w:rFonts w:asciiTheme="minorHAnsi" w:hAnsiTheme="minorHAnsi"/>
                <w:b w:val="0"/>
                <w:sz w:val="20"/>
                <w:szCs w:val="22"/>
                <w:u w:val="single"/>
              </w:rPr>
              <w:t>Income before income taxes</w:t>
            </w:r>
          </w:p>
          <w:p w14:paraId="4BB85CE2"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Income taxes</w:t>
            </w:r>
          </w:p>
          <w:p w14:paraId="300ED67D" w14:textId="7AD03399" w:rsidR="003016AF" w:rsidRPr="000743A9" w:rsidRDefault="003016AF" w:rsidP="003016AF">
            <w:pPr>
              <w:rPr>
                <w:rFonts w:asciiTheme="minorHAnsi" w:hAnsiTheme="minorHAnsi"/>
                <w:sz w:val="20"/>
                <w:szCs w:val="22"/>
              </w:rPr>
            </w:pPr>
            <w:r w:rsidRPr="000743A9">
              <w:rPr>
                <w:rFonts w:asciiTheme="minorHAnsi" w:hAnsiTheme="minorHAnsi"/>
                <w:b w:val="0"/>
                <w:sz w:val="20"/>
                <w:szCs w:val="22"/>
              </w:rPr>
              <w:t>Net income</w:t>
            </w:r>
          </w:p>
        </w:tc>
        <w:tc>
          <w:tcPr>
            <w:tcW w:w="1795" w:type="dxa"/>
          </w:tcPr>
          <w:p w14:paraId="444756D9" w14:textId="03BD199F" w:rsidR="003016AF" w:rsidRPr="000743A9" w:rsidRDefault="000B28C2"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lastRenderedPageBreak/>
              <w:t>Follows Current</w:t>
            </w:r>
            <w:r w:rsidR="003016AF" w:rsidRPr="000743A9">
              <w:rPr>
                <w:rFonts w:asciiTheme="minorHAnsi" w:hAnsiTheme="minorHAnsi"/>
                <w:sz w:val="20"/>
                <w:szCs w:val="22"/>
              </w:rPr>
              <w:t xml:space="preserve"> Guidance</w:t>
            </w:r>
          </w:p>
        </w:tc>
        <w:tc>
          <w:tcPr>
            <w:tcW w:w="1796" w:type="dxa"/>
          </w:tcPr>
          <w:p w14:paraId="7FDB89B6" w14:textId="1CB2C860"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t>Follows Alternative Guidance</w:t>
            </w:r>
          </w:p>
        </w:tc>
        <w:tc>
          <w:tcPr>
            <w:tcW w:w="1795" w:type="dxa"/>
          </w:tcPr>
          <w:p w14:paraId="243F04E1" w14:textId="11BDBF41"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t>Follows Alternative Guidance</w:t>
            </w:r>
          </w:p>
        </w:tc>
        <w:tc>
          <w:tcPr>
            <w:tcW w:w="1796" w:type="dxa"/>
          </w:tcPr>
          <w:p w14:paraId="20AAE5A9" w14:textId="375ED2D1"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0"/>
                <w:szCs w:val="22"/>
              </w:rPr>
            </w:pPr>
            <w:r w:rsidRPr="000743A9">
              <w:rPr>
                <w:rFonts w:asciiTheme="minorHAnsi" w:hAnsiTheme="minorHAnsi"/>
                <w:sz w:val="20"/>
                <w:szCs w:val="22"/>
              </w:rPr>
              <w:t>Follows Current Guidance</w:t>
            </w:r>
          </w:p>
        </w:tc>
      </w:tr>
      <w:tr w:rsidR="003016AF" w:rsidRPr="000743A9" w14:paraId="65EC0B51" w14:textId="77777777" w:rsidTr="001F6ADB">
        <w:trPr>
          <w:cnfStyle w:val="000000010000" w:firstRow="0" w:lastRow="0" w:firstColumn="0" w:lastColumn="0" w:oddVBand="0" w:evenVBand="0" w:oddHBand="0" w:evenHBand="1"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7488" w:type="dxa"/>
          </w:tcPr>
          <w:p w14:paraId="3D38906F" w14:textId="3C92AA98" w:rsidR="003016AF" w:rsidRPr="000743A9" w:rsidRDefault="003016AF" w:rsidP="003016AF">
            <w:pPr>
              <w:rPr>
                <w:rFonts w:asciiTheme="minorHAnsi" w:hAnsiTheme="minorHAnsi"/>
                <w:color w:val="000000" w:themeColor="text1"/>
                <w:sz w:val="20"/>
                <w:szCs w:val="22"/>
              </w:rPr>
            </w:pPr>
            <w:r w:rsidRPr="000743A9">
              <w:rPr>
                <w:rFonts w:asciiTheme="minorHAnsi" w:hAnsiTheme="minorHAnsi"/>
                <w:color w:val="000000" w:themeColor="text1"/>
                <w:sz w:val="20"/>
                <w:szCs w:val="22"/>
              </w:rPr>
              <w:t xml:space="preserve">Industry Practice - Hilton:  </w:t>
            </w:r>
          </w:p>
          <w:p w14:paraId="4BCA6A3A"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 xml:space="preserve">Depreciation expense included in operating expenses above operating income calculation. </w:t>
            </w:r>
          </w:p>
          <w:p w14:paraId="2F5A05CB" w14:textId="77777777" w:rsidR="003016AF" w:rsidRPr="000743A9" w:rsidRDefault="003016AF" w:rsidP="003016AF">
            <w:pPr>
              <w:rPr>
                <w:rFonts w:asciiTheme="minorHAnsi" w:hAnsiTheme="minorHAnsi"/>
                <w:b w:val="0"/>
                <w:color w:val="000000" w:themeColor="text1"/>
                <w:sz w:val="20"/>
                <w:szCs w:val="22"/>
              </w:rPr>
            </w:pPr>
          </w:p>
          <w:p w14:paraId="50810051" w14:textId="1B58277F" w:rsidR="003016AF" w:rsidRPr="000743A9" w:rsidRDefault="003016AF" w:rsidP="003016AF">
            <w:pPr>
              <w:rPr>
                <w:rFonts w:asciiTheme="minorHAnsi" w:hAnsiTheme="minorHAnsi"/>
                <w:b w:val="0"/>
                <w:i/>
                <w:color w:val="000000" w:themeColor="text1"/>
                <w:sz w:val="20"/>
                <w:szCs w:val="22"/>
              </w:rPr>
            </w:pPr>
            <w:r w:rsidRPr="000743A9">
              <w:rPr>
                <w:rFonts w:asciiTheme="minorHAnsi" w:hAnsiTheme="minorHAnsi"/>
                <w:b w:val="0"/>
                <w:i/>
                <w:color w:val="000000" w:themeColor="text1"/>
                <w:sz w:val="20"/>
                <w:szCs w:val="22"/>
              </w:rPr>
              <w:t>Consolidated Statement of Operation:</w:t>
            </w:r>
          </w:p>
          <w:p w14:paraId="3DE32C9A"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Revenues</w:t>
            </w:r>
          </w:p>
          <w:p w14:paraId="4F32D3AE"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Owned and leased hotels</w:t>
            </w:r>
          </w:p>
          <w:p w14:paraId="6BEF9BD7"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Management and franchise fees and other</w:t>
            </w:r>
          </w:p>
          <w:p w14:paraId="623A7AF1"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Timeshare</w:t>
            </w:r>
          </w:p>
          <w:p w14:paraId="788B68DB" w14:textId="77777777" w:rsidR="003016AF" w:rsidRPr="000743A9" w:rsidRDefault="003016AF" w:rsidP="003016AF">
            <w:pPr>
              <w:rPr>
                <w:rFonts w:asciiTheme="minorHAnsi" w:hAnsiTheme="minorHAnsi"/>
                <w:b w:val="0"/>
                <w:color w:val="000000" w:themeColor="text1"/>
                <w:sz w:val="20"/>
                <w:szCs w:val="22"/>
                <w:u w:val="single"/>
              </w:rPr>
            </w:pPr>
            <w:r w:rsidRPr="000743A9">
              <w:rPr>
                <w:rFonts w:asciiTheme="minorHAnsi" w:hAnsiTheme="minorHAnsi"/>
                <w:b w:val="0"/>
                <w:color w:val="000000" w:themeColor="text1"/>
                <w:sz w:val="20"/>
                <w:szCs w:val="22"/>
                <w:u w:val="single"/>
              </w:rPr>
              <w:t>Total revenues excluding reimbursement revenue</w:t>
            </w:r>
          </w:p>
          <w:p w14:paraId="17429CB0"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Other revenues from managed and franchised properties</w:t>
            </w:r>
          </w:p>
          <w:p w14:paraId="7181BA9D" w14:textId="77777777" w:rsidR="003016AF" w:rsidRPr="000743A9" w:rsidRDefault="003016AF" w:rsidP="003016AF">
            <w:pPr>
              <w:rPr>
                <w:rFonts w:asciiTheme="minorHAnsi" w:hAnsiTheme="minorHAnsi"/>
                <w:b w:val="0"/>
                <w:color w:val="000000" w:themeColor="text1"/>
                <w:sz w:val="20"/>
                <w:szCs w:val="22"/>
                <w:u w:val="single"/>
              </w:rPr>
            </w:pPr>
            <w:r w:rsidRPr="000743A9">
              <w:rPr>
                <w:rFonts w:asciiTheme="minorHAnsi" w:hAnsiTheme="minorHAnsi"/>
                <w:b w:val="0"/>
                <w:color w:val="000000" w:themeColor="text1"/>
                <w:sz w:val="20"/>
                <w:szCs w:val="22"/>
                <w:u w:val="single"/>
              </w:rPr>
              <w:t>Total revenues</w:t>
            </w:r>
          </w:p>
          <w:p w14:paraId="18E11F76"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Expenses</w:t>
            </w:r>
          </w:p>
          <w:p w14:paraId="0F80A040"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Owned and leased hotels</w:t>
            </w:r>
          </w:p>
          <w:p w14:paraId="54907B6F"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Timeshare</w:t>
            </w:r>
          </w:p>
          <w:p w14:paraId="45DC3667" w14:textId="77777777" w:rsidR="003016AF" w:rsidRPr="000743A9" w:rsidRDefault="003016AF" w:rsidP="003016AF">
            <w:pPr>
              <w:rPr>
                <w:rFonts w:asciiTheme="minorHAnsi" w:hAnsiTheme="minorHAnsi"/>
                <w:color w:val="000000" w:themeColor="text1"/>
                <w:sz w:val="20"/>
                <w:szCs w:val="22"/>
              </w:rPr>
            </w:pPr>
            <w:r w:rsidRPr="000743A9">
              <w:rPr>
                <w:rFonts w:asciiTheme="minorHAnsi" w:hAnsiTheme="minorHAnsi"/>
                <w:color w:val="000000" w:themeColor="text1"/>
                <w:sz w:val="20"/>
                <w:szCs w:val="22"/>
              </w:rPr>
              <w:t>Depreciation and amortization</w:t>
            </w:r>
          </w:p>
          <w:p w14:paraId="2C1FE888"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Impairment losses</w:t>
            </w:r>
          </w:p>
          <w:p w14:paraId="5F287E73"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General, administrative and other</w:t>
            </w:r>
          </w:p>
          <w:p w14:paraId="2F87E1D6" w14:textId="77777777" w:rsidR="003016AF" w:rsidRPr="000743A9" w:rsidRDefault="003016AF" w:rsidP="003016AF">
            <w:pPr>
              <w:rPr>
                <w:rFonts w:asciiTheme="minorHAnsi" w:hAnsiTheme="minorHAnsi"/>
                <w:b w:val="0"/>
                <w:color w:val="000000" w:themeColor="text1"/>
                <w:sz w:val="20"/>
                <w:szCs w:val="22"/>
                <w:u w:val="single"/>
              </w:rPr>
            </w:pPr>
            <w:r w:rsidRPr="000743A9">
              <w:rPr>
                <w:rFonts w:asciiTheme="minorHAnsi" w:hAnsiTheme="minorHAnsi"/>
                <w:b w:val="0"/>
                <w:color w:val="000000" w:themeColor="text1"/>
                <w:sz w:val="20"/>
                <w:szCs w:val="22"/>
                <w:u w:val="single"/>
              </w:rPr>
              <w:t>Total expenses excluding cost of reimbursable expense</w:t>
            </w:r>
          </w:p>
          <w:p w14:paraId="0AEFA357" w14:textId="77777777"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Other expenses from managed and franchised properties</w:t>
            </w:r>
          </w:p>
          <w:p w14:paraId="2659F6DB" w14:textId="77777777" w:rsidR="003016AF" w:rsidRPr="000743A9" w:rsidRDefault="003016AF" w:rsidP="003016AF">
            <w:pPr>
              <w:rPr>
                <w:rFonts w:asciiTheme="minorHAnsi" w:hAnsiTheme="minorHAnsi"/>
                <w:b w:val="0"/>
                <w:color w:val="000000" w:themeColor="text1"/>
                <w:sz w:val="20"/>
                <w:szCs w:val="22"/>
                <w:u w:val="single"/>
              </w:rPr>
            </w:pPr>
            <w:r w:rsidRPr="000743A9">
              <w:rPr>
                <w:rFonts w:asciiTheme="minorHAnsi" w:hAnsiTheme="minorHAnsi"/>
                <w:b w:val="0"/>
                <w:color w:val="000000" w:themeColor="text1"/>
                <w:sz w:val="20"/>
                <w:szCs w:val="22"/>
                <w:u w:val="single"/>
              </w:rPr>
              <w:t>Total expenses</w:t>
            </w:r>
          </w:p>
          <w:p w14:paraId="08215B83" w14:textId="645FF684" w:rsidR="003016AF" w:rsidRPr="000743A9" w:rsidRDefault="003016AF" w:rsidP="003016AF">
            <w:pPr>
              <w:rPr>
                <w:rFonts w:asciiTheme="minorHAnsi" w:hAnsiTheme="minorHAnsi"/>
                <w:b w:val="0"/>
                <w:color w:val="000000" w:themeColor="text1"/>
                <w:sz w:val="20"/>
                <w:szCs w:val="22"/>
              </w:rPr>
            </w:pPr>
            <w:r w:rsidRPr="000743A9">
              <w:rPr>
                <w:rFonts w:asciiTheme="minorHAnsi" w:hAnsiTheme="minorHAnsi"/>
                <w:b w:val="0"/>
                <w:color w:val="000000" w:themeColor="text1"/>
                <w:sz w:val="20"/>
                <w:szCs w:val="22"/>
              </w:rPr>
              <w:t>Operating income</w:t>
            </w:r>
          </w:p>
        </w:tc>
        <w:tc>
          <w:tcPr>
            <w:tcW w:w="1795" w:type="dxa"/>
          </w:tcPr>
          <w:p w14:paraId="02C06E1C" w14:textId="4EF34213" w:rsidR="003016AF" w:rsidRPr="000743A9" w:rsidRDefault="000B28C2"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2"/>
              </w:rPr>
            </w:pPr>
            <w:r w:rsidRPr="000743A9">
              <w:rPr>
                <w:rFonts w:asciiTheme="minorHAnsi" w:hAnsiTheme="minorHAnsi"/>
                <w:sz w:val="20"/>
                <w:szCs w:val="22"/>
              </w:rPr>
              <w:t>Follows Current</w:t>
            </w:r>
            <w:r w:rsidR="003016AF" w:rsidRPr="000743A9">
              <w:rPr>
                <w:rFonts w:asciiTheme="minorHAnsi" w:hAnsiTheme="minorHAnsi"/>
                <w:sz w:val="20"/>
                <w:szCs w:val="22"/>
              </w:rPr>
              <w:t xml:space="preserve"> Guidance</w:t>
            </w:r>
          </w:p>
        </w:tc>
        <w:tc>
          <w:tcPr>
            <w:tcW w:w="1796" w:type="dxa"/>
          </w:tcPr>
          <w:p w14:paraId="2B4CE085" w14:textId="6A225893"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2"/>
              </w:rPr>
            </w:pPr>
            <w:r w:rsidRPr="000743A9">
              <w:rPr>
                <w:rFonts w:asciiTheme="minorHAnsi" w:hAnsiTheme="minorHAnsi"/>
                <w:sz w:val="20"/>
                <w:szCs w:val="22"/>
              </w:rPr>
              <w:t>Follows Alternative Guidance</w:t>
            </w:r>
          </w:p>
        </w:tc>
        <w:tc>
          <w:tcPr>
            <w:tcW w:w="1795" w:type="dxa"/>
          </w:tcPr>
          <w:p w14:paraId="3F4E1893" w14:textId="42ACF74A"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2"/>
              </w:rPr>
            </w:pPr>
            <w:r w:rsidRPr="000743A9">
              <w:rPr>
                <w:rFonts w:asciiTheme="minorHAnsi" w:hAnsiTheme="minorHAnsi"/>
                <w:sz w:val="20"/>
                <w:szCs w:val="22"/>
              </w:rPr>
              <w:t>Follows Alternative Guidance</w:t>
            </w:r>
          </w:p>
        </w:tc>
        <w:tc>
          <w:tcPr>
            <w:tcW w:w="1796" w:type="dxa"/>
          </w:tcPr>
          <w:p w14:paraId="32118A1B" w14:textId="00979D57" w:rsidR="003016AF" w:rsidRPr="000743A9" w:rsidRDefault="003016AF" w:rsidP="003016A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2"/>
              </w:rPr>
            </w:pPr>
            <w:r w:rsidRPr="000743A9">
              <w:rPr>
                <w:rFonts w:asciiTheme="minorHAnsi" w:hAnsiTheme="minorHAnsi"/>
                <w:sz w:val="20"/>
                <w:szCs w:val="22"/>
              </w:rPr>
              <w:t>Follows Current Guidance</w:t>
            </w:r>
          </w:p>
        </w:tc>
      </w:tr>
      <w:tr w:rsidR="003016AF" w:rsidRPr="000743A9" w14:paraId="31637B5C" w14:textId="77777777" w:rsidTr="001F6ADB">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7488" w:type="dxa"/>
          </w:tcPr>
          <w:p w14:paraId="446FBDA4" w14:textId="77777777" w:rsidR="003016AF" w:rsidRPr="000743A9" w:rsidRDefault="003016AF" w:rsidP="003016AF">
            <w:pPr>
              <w:rPr>
                <w:rFonts w:asciiTheme="minorHAnsi" w:hAnsiTheme="minorHAnsi"/>
                <w:sz w:val="20"/>
                <w:szCs w:val="22"/>
              </w:rPr>
            </w:pPr>
            <w:r w:rsidRPr="000743A9">
              <w:rPr>
                <w:rFonts w:asciiTheme="minorHAnsi" w:hAnsiTheme="minorHAnsi"/>
                <w:sz w:val="20"/>
                <w:szCs w:val="22"/>
              </w:rPr>
              <w:t>DoDI 1015.15, NAFs Available/Projected Usage Report:</w:t>
            </w:r>
          </w:p>
          <w:p w14:paraId="168A6194" w14:textId="2CD5A0A4"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 xml:space="preserve">This report differs from the Income Statement and is not required to follow GAAP.  </w:t>
            </w:r>
          </w:p>
          <w:p w14:paraId="0DCB050A" w14:textId="77777777" w:rsidR="003016AF" w:rsidRPr="000743A9" w:rsidRDefault="003016AF" w:rsidP="003016AF">
            <w:pPr>
              <w:rPr>
                <w:rFonts w:asciiTheme="minorHAnsi" w:hAnsiTheme="minorHAnsi"/>
                <w:b w:val="0"/>
                <w:sz w:val="20"/>
                <w:szCs w:val="22"/>
              </w:rPr>
            </w:pPr>
          </w:p>
          <w:p w14:paraId="408CF68C"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FUNDS AVAILABLE</w:t>
            </w:r>
          </w:p>
          <w:p w14:paraId="7ADB2F40"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Operating Cash Invested in Central Banking Program</w:t>
            </w:r>
          </w:p>
          <w:p w14:paraId="45B094A6"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Other Cash Resources/Local Balances:</w:t>
            </w:r>
          </w:p>
          <w:p w14:paraId="22437B73"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Local Bank Accounts</w:t>
            </w:r>
          </w:p>
          <w:p w14:paraId="11E3A7C6"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Cash on Hand in Change Funds, Petty</w:t>
            </w:r>
          </w:p>
          <w:p w14:paraId="65A804DC"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lastRenderedPageBreak/>
              <w:t>Cash Funds, and Conversion Funds</w:t>
            </w:r>
          </w:p>
          <w:p w14:paraId="79CF5305"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Other Investments (Specify)</w:t>
            </w:r>
          </w:p>
          <w:p w14:paraId="21B0E4A0" w14:textId="77777777" w:rsidR="003016AF" w:rsidRPr="000743A9" w:rsidRDefault="003016AF" w:rsidP="003016AF">
            <w:pPr>
              <w:rPr>
                <w:rFonts w:asciiTheme="minorHAnsi" w:hAnsiTheme="minorHAnsi"/>
                <w:b w:val="0"/>
                <w:sz w:val="20"/>
                <w:szCs w:val="22"/>
              </w:rPr>
            </w:pPr>
            <w:r w:rsidRPr="000743A9">
              <w:rPr>
                <w:rFonts w:asciiTheme="minorHAnsi" w:hAnsiTheme="minorHAnsi"/>
                <w:b w:val="0"/>
                <w:sz w:val="20"/>
                <w:szCs w:val="22"/>
              </w:rPr>
              <w:t>Fixed Asset Sinking Funds</w:t>
            </w:r>
          </w:p>
          <w:p w14:paraId="1A3F80B4" w14:textId="5A453850" w:rsidR="003016AF" w:rsidRPr="000743A9" w:rsidRDefault="00597BF9" w:rsidP="003016AF">
            <w:pPr>
              <w:rPr>
                <w:rFonts w:asciiTheme="minorHAnsi" w:hAnsiTheme="minorHAnsi"/>
                <w:b w:val="0"/>
                <w:sz w:val="20"/>
                <w:szCs w:val="22"/>
              </w:rPr>
            </w:pPr>
            <w:r w:rsidRPr="000743A9">
              <w:rPr>
                <w:rFonts w:asciiTheme="minorHAnsi" w:hAnsiTheme="minorHAnsi"/>
                <w:b w:val="0"/>
                <w:sz w:val="20"/>
                <w:szCs w:val="22"/>
              </w:rPr>
              <w:t>Employee Benefit Sinking Funds</w:t>
            </w:r>
          </w:p>
          <w:p w14:paraId="1139442C" w14:textId="661760AC" w:rsidR="003016AF" w:rsidRPr="000743A9" w:rsidRDefault="003016AF" w:rsidP="003016AF">
            <w:pPr>
              <w:rPr>
                <w:rFonts w:asciiTheme="minorHAnsi" w:hAnsiTheme="minorHAnsi"/>
                <w:sz w:val="20"/>
                <w:szCs w:val="22"/>
              </w:rPr>
            </w:pPr>
            <w:r w:rsidRPr="000743A9">
              <w:rPr>
                <w:rFonts w:asciiTheme="minorHAnsi" w:hAnsiTheme="minorHAnsi"/>
                <w:sz w:val="20"/>
                <w:szCs w:val="22"/>
              </w:rPr>
              <w:t xml:space="preserve">Net Income </w:t>
            </w:r>
            <w:r w:rsidR="00597BF9" w:rsidRPr="000743A9">
              <w:rPr>
                <w:rFonts w:asciiTheme="minorHAnsi" w:hAnsiTheme="minorHAnsi"/>
                <w:sz w:val="20"/>
                <w:szCs w:val="22"/>
              </w:rPr>
              <w:t>Before Depreciation for Next FY</w:t>
            </w:r>
          </w:p>
          <w:p w14:paraId="36282C22" w14:textId="5CF90A19" w:rsidR="003016AF" w:rsidRPr="000743A9" w:rsidRDefault="003016AF" w:rsidP="003016AF">
            <w:pPr>
              <w:rPr>
                <w:rFonts w:asciiTheme="minorHAnsi" w:hAnsiTheme="minorHAnsi"/>
                <w:color w:val="000000" w:themeColor="text1"/>
                <w:sz w:val="20"/>
                <w:szCs w:val="22"/>
              </w:rPr>
            </w:pPr>
            <w:r w:rsidRPr="000743A9">
              <w:rPr>
                <w:rFonts w:asciiTheme="minorHAnsi" w:hAnsiTheme="minorHAnsi"/>
                <w:b w:val="0"/>
                <w:sz w:val="20"/>
                <w:szCs w:val="22"/>
              </w:rPr>
              <w:t>Total Funds Available</w:t>
            </w:r>
          </w:p>
        </w:tc>
        <w:tc>
          <w:tcPr>
            <w:tcW w:w="1795" w:type="dxa"/>
          </w:tcPr>
          <w:p w14:paraId="3E31E4C0" w14:textId="4E9EF34E"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2"/>
              </w:rPr>
            </w:pPr>
          </w:p>
        </w:tc>
        <w:tc>
          <w:tcPr>
            <w:tcW w:w="1796" w:type="dxa"/>
          </w:tcPr>
          <w:p w14:paraId="1B216FC5" w14:textId="29878250"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2"/>
              </w:rPr>
            </w:pPr>
          </w:p>
        </w:tc>
        <w:tc>
          <w:tcPr>
            <w:tcW w:w="1795" w:type="dxa"/>
          </w:tcPr>
          <w:p w14:paraId="6CC9A01F" w14:textId="435185D1"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2"/>
              </w:rPr>
            </w:pPr>
          </w:p>
        </w:tc>
        <w:tc>
          <w:tcPr>
            <w:tcW w:w="1796" w:type="dxa"/>
          </w:tcPr>
          <w:p w14:paraId="0E10B103" w14:textId="29E4A317" w:rsidR="003016AF" w:rsidRPr="000743A9" w:rsidRDefault="003016AF" w:rsidP="003016A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2"/>
              </w:rPr>
            </w:pPr>
          </w:p>
        </w:tc>
      </w:tr>
    </w:tbl>
    <w:p w14:paraId="2B8B7222" w14:textId="66716F5C" w:rsidR="00E9408E" w:rsidRPr="000743A9" w:rsidRDefault="00E9408E" w:rsidP="003016AF">
      <w:pPr>
        <w:rPr>
          <w:rFonts w:ascii="Arial Black" w:hAnsi="Arial Black"/>
          <w:bCs/>
          <w:color w:val="4F2D7F"/>
          <w:kern w:val="32"/>
          <w:szCs w:val="28"/>
        </w:rPr>
      </w:pPr>
    </w:p>
    <w:p w14:paraId="3232EEC8" w14:textId="0E707A64" w:rsidR="00FB012F" w:rsidRPr="000743A9" w:rsidRDefault="00207664" w:rsidP="00FB012F">
      <w:pPr>
        <w:pStyle w:val="Heading1"/>
        <w:tabs>
          <w:tab w:val="left" w:pos="6675"/>
        </w:tabs>
        <w:ind w:left="-2160" w:firstLine="180"/>
        <w:rPr>
          <w:sz w:val="22"/>
        </w:rPr>
      </w:pPr>
      <w:r w:rsidRPr="000743A9">
        <w:rPr>
          <w:sz w:val="22"/>
        </w:rPr>
        <w:t>Discussion</w:t>
      </w:r>
    </w:p>
    <w:p w14:paraId="41A29EF3" w14:textId="6F973474" w:rsidR="008A1AD2" w:rsidRPr="000743A9" w:rsidRDefault="00255C93" w:rsidP="00F67EA6">
      <w:pPr>
        <w:pStyle w:val="BodyText"/>
        <w:spacing w:after="0" w:line="240" w:lineRule="auto"/>
        <w:ind w:left="-806"/>
        <w:rPr>
          <w:szCs w:val="24"/>
        </w:rPr>
      </w:pPr>
      <w:r w:rsidRPr="000743A9">
        <w:rPr>
          <w:szCs w:val="24"/>
        </w:rPr>
        <w:t xml:space="preserve">At the time this paper was written, </w:t>
      </w:r>
      <w:r w:rsidR="00FB012F" w:rsidRPr="000743A9">
        <w:rPr>
          <w:szCs w:val="24"/>
        </w:rPr>
        <w:t>FMR Volume 13 classifie</w:t>
      </w:r>
      <w:r w:rsidRPr="000743A9">
        <w:rPr>
          <w:szCs w:val="24"/>
        </w:rPr>
        <w:t>d</w:t>
      </w:r>
      <w:r w:rsidR="00FB012F" w:rsidRPr="000743A9">
        <w:rPr>
          <w:szCs w:val="24"/>
        </w:rPr>
        <w:t xml:space="preserve"> depreciation expense as a non-operating expense</w:t>
      </w:r>
      <w:r w:rsidR="00585548" w:rsidRPr="000743A9">
        <w:rPr>
          <w:szCs w:val="24"/>
        </w:rPr>
        <w:t xml:space="preserve"> on the income statement</w:t>
      </w:r>
      <w:r w:rsidR="00FB012F" w:rsidRPr="000743A9">
        <w:rPr>
          <w:szCs w:val="24"/>
        </w:rPr>
        <w:t xml:space="preserve"> and </w:t>
      </w:r>
      <w:r w:rsidRPr="000743A9">
        <w:rPr>
          <w:szCs w:val="24"/>
        </w:rPr>
        <w:t>was</w:t>
      </w:r>
      <w:r w:rsidR="00FB012F" w:rsidRPr="000743A9">
        <w:rPr>
          <w:szCs w:val="24"/>
        </w:rPr>
        <w:t xml:space="preserve"> not in line with GAAP.  FMR Volume 13 also references </w:t>
      </w:r>
      <w:r w:rsidR="00510D0E" w:rsidRPr="000743A9">
        <w:rPr>
          <w:szCs w:val="24"/>
        </w:rPr>
        <w:t xml:space="preserve">one of the four principles of accounting, the matching principle.  That matching principle matches expenses with revenue it helped create.  For example, </w:t>
      </w:r>
      <w:r w:rsidR="00585548" w:rsidRPr="000743A9">
        <w:rPr>
          <w:szCs w:val="24"/>
        </w:rPr>
        <w:t>a rental boat’s depreciation expense</w:t>
      </w:r>
      <w:r w:rsidR="00FB012F" w:rsidRPr="000743A9">
        <w:rPr>
          <w:szCs w:val="24"/>
        </w:rPr>
        <w:t xml:space="preserve"> </w:t>
      </w:r>
      <w:r w:rsidR="00585548" w:rsidRPr="000743A9">
        <w:rPr>
          <w:szCs w:val="24"/>
        </w:rPr>
        <w:t>would be matched to the rental revenue associated with the boat.  Because the boat’s rental revenue is an operating expense, the depreciation expense would match the revenue and be classified as operating.</w:t>
      </w:r>
    </w:p>
    <w:p w14:paraId="0B2455A0" w14:textId="77777777" w:rsidR="00F67EA6" w:rsidRPr="000743A9" w:rsidRDefault="00F67EA6" w:rsidP="00F67EA6">
      <w:pPr>
        <w:pStyle w:val="BodyText"/>
        <w:spacing w:after="0" w:line="240" w:lineRule="auto"/>
        <w:ind w:left="-806"/>
        <w:rPr>
          <w:szCs w:val="24"/>
        </w:rPr>
      </w:pPr>
    </w:p>
    <w:p w14:paraId="0EA8AE53" w14:textId="32DF7545" w:rsidR="000122CF" w:rsidRPr="000743A9" w:rsidRDefault="000122CF" w:rsidP="00F67EA6">
      <w:pPr>
        <w:pStyle w:val="BodyText"/>
        <w:spacing w:after="0" w:line="240" w:lineRule="auto"/>
        <w:ind w:left="-806"/>
        <w:rPr>
          <w:szCs w:val="24"/>
        </w:rPr>
      </w:pPr>
      <w:r w:rsidRPr="000743A9">
        <w:rPr>
          <w:szCs w:val="24"/>
        </w:rPr>
        <w:t xml:space="preserve">Service specific reports such as the NAFs Available/Projected Usage report present net income before depreciation.  This report is an internal management report and is not required to follow GAAP.  The Services are able to present depreciation as an operating expense on the income statement and also generate a separate report that </w:t>
      </w:r>
      <w:r w:rsidR="008A1AD2" w:rsidRPr="000743A9">
        <w:rPr>
          <w:szCs w:val="24"/>
        </w:rPr>
        <w:t>presents net income before depreciation.</w:t>
      </w:r>
    </w:p>
    <w:p w14:paraId="0FAA5595" w14:textId="46C5729D" w:rsidR="0006315B" w:rsidRPr="000743A9" w:rsidRDefault="00207664" w:rsidP="006C040A">
      <w:pPr>
        <w:pStyle w:val="Heading1"/>
        <w:tabs>
          <w:tab w:val="left" w:pos="6675"/>
        </w:tabs>
        <w:ind w:left="-2160" w:firstLine="180"/>
        <w:rPr>
          <w:sz w:val="22"/>
        </w:rPr>
      </w:pPr>
      <w:r w:rsidRPr="000743A9">
        <w:rPr>
          <w:sz w:val="22"/>
        </w:rPr>
        <w:t>Recommendation</w:t>
      </w:r>
    </w:p>
    <w:p w14:paraId="646FB282" w14:textId="77777777" w:rsidR="00F67EA6" w:rsidRPr="000743A9" w:rsidRDefault="008A1AD2" w:rsidP="00F67EA6">
      <w:pPr>
        <w:pStyle w:val="BodyText"/>
        <w:spacing w:after="0"/>
        <w:ind w:left="-806"/>
        <w:rPr>
          <w:szCs w:val="24"/>
        </w:rPr>
      </w:pPr>
      <w:r w:rsidRPr="000743A9">
        <w:rPr>
          <w:szCs w:val="24"/>
        </w:rPr>
        <w:t xml:space="preserve">Each Service should follow GAAP and </w:t>
      </w:r>
      <w:r w:rsidR="00E31E4F" w:rsidRPr="000743A9">
        <w:rPr>
          <w:szCs w:val="24"/>
        </w:rPr>
        <w:t>have depreciation expense match the corresponding revenue and present it accordingly on the income statement.</w:t>
      </w:r>
      <w:r w:rsidR="0024788C" w:rsidRPr="000743A9">
        <w:rPr>
          <w:szCs w:val="24"/>
        </w:rPr>
        <w:t xml:space="preserve"> </w:t>
      </w:r>
      <w:r w:rsidR="00E31E4F" w:rsidRPr="000743A9">
        <w:rPr>
          <w:szCs w:val="24"/>
        </w:rPr>
        <w:t xml:space="preserve"> </w:t>
      </w:r>
      <w:r w:rsidR="00E31E4F" w:rsidRPr="000743A9">
        <w:rPr>
          <w:b/>
          <w:szCs w:val="24"/>
        </w:rPr>
        <w:t>Depreciation expense is primarily associated with operating activities; therefore, we recommend moving depreciation to the operating expense section of the income statement.</w:t>
      </w:r>
      <w:r w:rsidR="00E31E4F" w:rsidRPr="000743A9">
        <w:rPr>
          <w:szCs w:val="24"/>
        </w:rPr>
        <w:t xml:space="preserve">  Specifically,</w:t>
      </w:r>
      <w:r w:rsidR="0024788C" w:rsidRPr="000743A9">
        <w:rPr>
          <w:szCs w:val="24"/>
        </w:rPr>
        <w:t xml:space="preserve"> GLAC 703 Depreciation and Amortization Expense should be moved to the GLAC 500 series with the other operating expenses.  Additionally, the following guidance should be revised:</w:t>
      </w:r>
    </w:p>
    <w:p w14:paraId="628BE0B7" w14:textId="77777777" w:rsidR="00F67EA6" w:rsidRPr="000743A9" w:rsidRDefault="00F67EA6" w:rsidP="00F67EA6">
      <w:pPr>
        <w:pStyle w:val="BodyText"/>
        <w:spacing w:after="0"/>
        <w:ind w:left="-806"/>
        <w:rPr>
          <w:szCs w:val="24"/>
        </w:rPr>
      </w:pPr>
    </w:p>
    <w:p w14:paraId="3C61CF23" w14:textId="77777777" w:rsidR="00F67EA6" w:rsidRPr="000743A9" w:rsidRDefault="0024788C" w:rsidP="0076444A">
      <w:pPr>
        <w:pStyle w:val="BodyText"/>
        <w:spacing w:after="0" w:line="240" w:lineRule="auto"/>
        <w:ind w:left="-86"/>
        <w:rPr>
          <w:szCs w:val="24"/>
        </w:rPr>
      </w:pPr>
      <w:r w:rsidRPr="000743A9">
        <w:rPr>
          <w:szCs w:val="24"/>
        </w:rPr>
        <w:t xml:space="preserve">DoDI 1015.15 </w:t>
      </w:r>
      <w:r w:rsidR="008002D2" w:rsidRPr="000743A9">
        <w:rPr>
          <w:szCs w:val="24"/>
        </w:rPr>
        <w:t xml:space="preserve">6.4.2.6. </w:t>
      </w:r>
      <w:r w:rsidRPr="000743A9">
        <w:rPr>
          <w:szCs w:val="24"/>
        </w:rPr>
        <w:t>“</w:t>
      </w:r>
      <w:r w:rsidR="008002D2" w:rsidRPr="000743A9">
        <w:rPr>
          <w:szCs w:val="24"/>
        </w:rPr>
        <w:t>Depreciation and Amortization</w:t>
      </w:r>
      <w:r w:rsidRPr="000743A9">
        <w:rPr>
          <w:szCs w:val="24"/>
        </w:rPr>
        <w:t>” should include additional clarification for the appropriate place to expense depreciation.</w:t>
      </w:r>
    </w:p>
    <w:p w14:paraId="2D3FD6A7" w14:textId="77777777" w:rsidR="00F67EA6" w:rsidRPr="000743A9" w:rsidRDefault="00F67EA6" w:rsidP="00F67EA6">
      <w:pPr>
        <w:pStyle w:val="BodyText"/>
        <w:spacing w:after="0"/>
        <w:ind w:left="-806"/>
        <w:rPr>
          <w:szCs w:val="24"/>
        </w:rPr>
      </w:pPr>
    </w:p>
    <w:p w14:paraId="64D605B9" w14:textId="77777777" w:rsidR="00F67EA6" w:rsidRPr="000743A9" w:rsidRDefault="0024788C" w:rsidP="0076444A">
      <w:pPr>
        <w:pStyle w:val="BodyText"/>
        <w:spacing w:after="0"/>
        <w:ind w:left="720"/>
        <w:rPr>
          <w:szCs w:val="24"/>
        </w:rPr>
      </w:pPr>
      <w:r w:rsidRPr="000743A9">
        <w:rPr>
          <w:szCs w:val="24"/>
        </w:rPr>
        <w:t>T</w:t>
      </w:r>
      <w:r w:rsidR="008002D2" w:rsidRPr="000743A9">
        <w:rPr>
          <w:szCs w:val="24"/>
        </w:rPr>
        <w:t>angible fixed assets, except</w:t>
      </w:r>
      <w:r w:rsidR="00075448" w:rsidRPr="000743A9">
        <w:rPr>
          <w:szCs w:val="24"/>
        </w:rPr>
        <w:t xml:space="preserve"> </w:t>
      </w:r>
      <w:r w:rsidR="008002D2" w:rsidRPr="000743A9">
        <w:rPr>
          <w:szCs w:val="24"/>
        </w:rPr>
        <w:t>construction in progress, shall be depreciated over their expected useful lives. Depreciation and</w:t>
      </w:r>
      <w:r w:rsidR="00F11DC9" w:rsidRPr="000743A9">
        <w:rPr>
          <w:szCs w:val="24"/>
        </w:rPr>
        <w:t xml:space="preserve"> </w:t>
      </w:r>
      <w:r w:rsidR="008002D2" w:rsidRPr="000743A9">
        <w:rPr>
          <w:szCs w:val="24"/>
        </w:rPr>
        <w:t>amortization shall be established and reported on financial statements.</w:t>
      </w:r>
      <w:r w:rsidRPr="000743A9">
        <w:rPr>
          <w:szCs w:val="24"/>
        </w:rPr>
        <w:t xml:space="preserve">  </w:t>
      </w:r>
      <w:r w:rsidRPr="000743A9">
        <w:rPr>
          <w:color w:val="FF0000"/>
          <w:szCs w:val="24"/>
        </w:rPr>
        <w:t>In accordance with the matching principle, depreciation expense should match the corresponding revenue and be presented accordingly on the income statement</w:t>
      </w:r>
      <w:r w:rsidRPr="000743A9">
        <w:rPr>
          <w:szCs w:val="24"/>
        </w:rPr>
        <w:t>.</w:t>
      </w:r>
    </w:p>
    <w:p w14:paraId="6886C473" w14:textId="77777777" w:rsidR="00F67EA6" w:rsidRPr="000743A9" w:rsidRDefault="00F67EA6" w:rsidP="00F67EA6">
      <w:pPr>
        <w:pStyle w:val="BodyText"/>
        <w:spacing w:after="0"/>
        <w:ind w:left="-806"/>
        <w:rPr>
          <w:szCs w:val="24"/>
        </w:rPr>
      </w:pPr>
    </w:p>
    <w:p w14:paraId="5052914B" w14:textId="38CCCB20" w:rsidR="00F67EA6" w:rsidRPr="000743A9" w:rsidRDefault="00A855FA" w:rsidP="0076444A">
      <w:pPr>
        <w:pStyle w:val="BodyText"/>
        <w:spacing w:after="0"/>
        <w:rPr>
          <w:szCs w:val="24"/>
        </w:rPr>
      </w:pPr>
      <w:r w:rsidRPr="000743A9">
        <w:rPr>
          <w:szCs w:val="24"/>
        </w:rPr>
        <w:t xml:space="preserve">FMR Volume 13, </w:t>
      </w:r>
      <w:r w:rsidR="006A66C5" w:rsidRPr="000743A9">
        <w:rPr>
          <w:szCs w:val="24"/>
        </w:rPr>
        <w:t xml:space="preserve">Chapter </w:t>
      </w:r>
      <w:r w:rsidR="00816DAF" w:rsidRPr="000743A9">
        <w:rPr>
          <w:szCs w:val="24"/>
        </w:rPr>
        <w:t>2</w:t>
      </w:r>
      <w:r w:rsidR="006A66C5" w:rsidRPr="000743A9">
        <w:rPr>
          <w:szCs w:val="24"/>
        </w:rPr>
        <w:t xml:space="preserve">, para </w:t>
      </w:r>
      <w:r w:rsidRPr="000743A9">
        <w:rPr>
          <w:szCs w:val="24"/>
        </w:rPr>
        <w:t>0</w:t>
      </w:r>
      <w:r w:rsidR="00816DAF" w:rsidRPr="000743A9">
        <w:rPr>
          <w:szCs w:val="24"/>
        </w:rPr>
        <w:t>20406.A.</w:t>
      </w:r>
      <w:r w:rsidRPr="000743A9">
        <w:rPr>
          <w:szCs w:val="24"/>
        </w:rPr>
        <w:t xml:space="preserve"> “Operating Expenses” </w:t>
      </w:r>
      <w:r w:rsidR="0076444A" w:rsidRPr="000743A9">
        <w:rPr>
          <w:szCs w:val="24"/>
        </w:rPr>
        <w:t xml:space="preserve">be revised to add the depreciation expense </w:t>
      </w:r>
      <w:r w:rsidRPr="000743A9">
        <w:rPr>
          <w:szCs w:val="24"/>
        </w:rPr>
        <w:t xml:space="preserve">(previously in the </w:t>
      </w:r>
      <w:r w:rsidR="00F67EA6" w:rsidRPr="000743A9">
        <w:rPr>
          <w:szCs w:val="24"/>
        </w:rPr>
        <w:t>non-operating expenses section)</w:t>
      </w:r>
      <w:r w:rsidR="00816DAF" w:rsidRPr="000743A9">
        <w:rPr>
          <w:szCs w:val="24"/>
        </w:rPr>
        <w:t>.</w:t>
      </w:r>
    </w:p>
    <w:p w14:paraId="3DAAB42E" w14:textId="77777777" w:rsidR="00F67EA6" w:rsidRPr="000743A9" w:rsidRDefault="00F67EA6" w:rsidP="00F67EA6">
      <w:pPr>
        <w:pStyle w:val="BodyText"/>
        <w:spacing w:after="0"/>
        <w:ind w:left="-806"/>
        <w:rPr>
          <w:szCs w:val="24"/>
        </w:rPr>
      </w:pPr>
    </w:p>
    <w:p w14:paraId="7A9CC406" w14:textId="77777777" w:rsidR="00207664" w:rsidRPr="000743A9" w:rsidRDefault="00207664" w:rsidP="00F67EA6">
      <w:pPr>
        <w:pStyle w:val="Heading1"/>
        <w:tabs>
          <w:tab w:val="left" w:pos="6675"/>
        </w:tabs>
        <w:spacing w:line="240" w:lineRule="auto"/>
        <w:ind w:left="-2160" w:firstLine="187"/>
        <w:rPr>
          <w:sz w:val="22"/>
        </w:rPr>
      </w:pPr>
      <w:r w:rsidRPr="000743A9">
        <w:rPr>
          <w:sz w:val="22"/>
        </w:rPr>
        <w:lastRenderedPageBreak/>
        <w:t>Service Concurrence</w:t>
      </w:r>
    </w:p>
    <w:tbl>
      <w:tblPr>
        <w:tblStyle w:val="TableGrid"/>
        <w:tblW w:w="0" w:type="auto"/>
        <w:tblInd w:w="-1173" w:type="dxa"/>
        <w:tblLook w:val="04A0" w:firstRow="1" w:lastRow="0" w:firstColumn="1" w:lastColumn="0" w:noHBand="0" w:noVBand="1"/>
      </w:tblPr>
      <w:tblGrid>
        <w:gridCol w:w="2065"/>
        <w:gridCol w:w="3243"/>
        <w:gridCol w:w="8100"/>
      </w:tblGrid>
      <w:tr w:rsidR="00207664" w:rsidRPr="000743A9" w14:paraId="4A5944BB" w14:textId="77777777" w:rsidTr="00740C0E">
        <w:tc>
          <w:tcPr>
            <w:tcW w:w="2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190939" w14:textId="77777777" w:rsidR="00207664" w:rsidRPr="000743A9" w:rsidRDefault="00207664" w:rsidP="00BF4937">
            <w:pPr>
              <w:pStyle w:val="Heading1"/>
              <w:tabs>
                <w:tab w:val="left" w:pos="6675"/>
              </w:tabs>
              <w:jc w:val="center"/>
              <w:rPr>
                <w:rFonts w:asciiTheme="minorHAnsi" w:hAnsiTheme="minorHAnsi" w:cstheme="majorHAnsi"/>
                <w:color w:val="auto"/>
                <w:sz w:val="22"/>
              </w:rPr>
            </w:pPr>
            <w:r w:rsidRPr="000743A9">
              <w:rPr>
                <w:rFonts w:asciiTheme="minorHAnsi" w:hAnsiTheme="minorHAnsi" w:cstheme="majorHAnsi"/>
                <w:color w:val="auto"/>
                <w:sz w:val="22"/>
              </w:rPr>
              <w:t>Service</w:t>
            </w:r>
          </w:p>
        </w:tc>
        <w:tc>
          <w:tcPr>
            <w:tcW w:w="32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83B10A" w14:textId="77777777" w:rsidR="00207664" w:rsidRPr="000743A9" w:rsidRDefault="00207664" w:rsidP="00BF4937">
            <w:pPr>
              <w:pStyle w:val="Heading1"/>
              <w:tabs>
                <w:tab w:val="left" w:pos="6675"/>
              </w:tabs>
              <w:jc w:val="center"/>
              <w:rPr>
                <w:rFonts w:asciiTheme="minorHAnsi" w:hAnsiTheme="minorHAnsi" w:cstheme="majorHAnsi"/>
                <w:color w:val="auto"/>
                <w:sz w:val="22"/>
              </w:rPr>
            </w:pPr>
            <w:r w:rsidRPr="000743A9">
              <w:rPr>
                <w:rFonts w:asciiTheme="minorHAnsi" w:hAnsiTheme="minorHAnsi" w:cstheme="majorHAnsi"/>
                <w:color w:val="auto"/>
                <w:sz w:val="22"/>
              </w:rPr>
              <w:t>Concurrence</w:t>
            </w:r>
          </w:p>
        </w:tc>
        <w:tc>
          <w:tcPr>
            <w:tcW w:w="8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2BA4AC" w14:textId="7E74B342" w:rsidR="00207664" w:rsidRPr="000743A9" w:rsidRDefault="0016459C" w:rsidP="0016459C">
            <w:pPr>
              <w:pStyle w:val="Heading1"/>
              <w:tabs>
                <w:tab w:val="left" w:pos="6675"/>
              </w:tabs>
              <w:jc w:val="center"/>
              <w:rPr>
                <w:rFonts w:asciiTheme="minorHAnsi" w:hAnsiTheme="minorHAnsi" w:cstheme="majorHAnsi"/>
                <w:color w:val="auto"/>
                <w:sz w:val="22"/>
              </w:rPr>
            </w:pPr>
            <w:r w:rsidRPr="000743A9">
              <w:rPr>
                <w:rFonts w:asciiTheme="minorHAnsi" w:hAnsiTheme="minorHAnsi" w:cstheme="majorHAnsi"/>
                <w:color w:val="auto"/>
                <w:sz w:val="22"/>
              </w:rPr>
              <w:t>Reason</w:t>
            </w:r>
          </w:p>
        </w:tc>
      </w:tr>
      <w:tr w:rsidR="00207664" w:rsidRPr="000743A9" w14:paraId="5EADA945" w14:textId="77777777" w:rsidTr="00740C0E">
        <w:trPr>
          <w:trHeight w:val="534"/>
        </w:trPr>
        <w:tc>
          <w:tcPr>
            <w:tcW w:w="2065" w:type="dxa"/>
            <w:tcBorders>
              <w:top w:val="single" w:sz="4" w:space="0" w:color="auto"/>
              <w:left w:val="single" w:sz="4" w:space="0" w:color="auto"/>
              <w:bottom w:val="single" w:sz="4" w:space="0" w:color="auto"/>
              <w:right w:val="single" w:sz="4" w:space="0" w:color="auto"/>
            </w:tcBorders>
            <w:hideMark/>
          </w:tcPr>
          <w:p w14:paraId="5DAEA980" w14:textId="77777777" w:rsidR="00207664" w:rsidRPr="000743A9" w:rsidRDefault="00207664" w:rsidP="00BF4937">
            <w:pPr>
              <w:pStyle w:val="Heading1"/>
              <w:tabs>
                <w:tab w:val="left" w:pos="6675"/>
              </w:tabs>
              <w:rPr>
                <w:rFonts w:asciiTheme="minorHAnsi" w:hAnsiTheme="minorHAnsi" w:cstheme="majorHAnsi"/>
                <w:color w:val="auto"/>
                <w:sz w:val="22"/>
              </w:rPr>
            </w:pPr>
            <w:r w:rsidRPr="000743A9">
              <w:rPr>
                <w:rFonts w:asciiTheme="minorHAnsi" w:hAnsiTheme="minorHAnsi" w:cstheme="majorHAnsi"/>
                <w:color w:val="auto"/>
                <w:sz w:val="22"/>
              </w:rPr>
              <w:t>Air Force</w:t>
            </w:r>
          </w:p>
        </w:tc>
        <w:tc>
          <w:tcPr>
            <w:tcW w:w="3243" w:type="dxa"/>
            <w:tcBorders>
              <w:top w:val="single" w:sz="4" w:space="0" w:color="auto"/>
              <w:left w:val="single" w:sz="4" w:space="0" w:color="auto"/>
              <w:bottom w:val="single" w:sz="4" w:space="0" w:color="auto"/>
              <w:right w:val="single" w:sz="4" w:space="0" w:color="auto"/>
            </w:tcBorders>
          </w:tcPr>
          <w:p w14:paraId="097BDC2D" w14:textId="77777777" w:rsidR="00207664" w:rsidRPr="000743A9" w:rsidRDefault="006A66C5" w:rsidP="00135D79">
            <w:pPr>
              <w:pStyle w:val="Heading1"/>
              <w:tabs>
                <w:tab w:val="left" w:pos="6675"/>
              </w:tabs>
              <w:rPr>
                <w:rFonts w:asciiTheme="minorHAnsi" w:hAnsiTheme="minorHAnsi" w:cstheme="majorHAnsi"/>
                <w:color w:val="000000" w:themeColor="text1"/>
                <w:sz w:val="22"/>
                <w:szCs w:val="24"/>
              </w:rPr>
            </w:pPr>
            <w:r w:rsidRPr="000743A9">
              <w:rPr>
                <w:rFonts w:asciiTheme="minorHAnsi" w:hAnsiTheme="minorHAnsi" w:cstheme="majorHAnsi"/>
                <w:color w:val="000000" w:themeColor="text1"/>
                <w:sz w:val="22"/>
                <w:szCs w:val="24"/>
              </w:rPr>
              <w:t>Concurrence on 3/13/2018</w:t>
            </w:r>
            <w:r w:rsidR="00740C0E" w:rsidRPr="000743A9">
              <w:rPr>
                <w:rFonts w:asciiTheme="minorHAnsi" w:hAnsiTheme="minorHAnsi" w:cstheme="majorHAnsi"/>
                <w:color w:val="000000" w:themeColor="text1"/>
                <w:sz w:val="22"/>
                <w:szCs w:val="24"/>
              </w:rPr>
              <w:t>.</w:t>
            </w:r>
          </w:p>
          <w:p w14:paraId="10A97F1A" w14:textId="37A4E820" w:rsidR="00740C0E" w:rsidRPr="000743A9" w:rsidRDefault="00740C0E" w:rsidP="00740C0E">
            <w:pPr>
              <w:pStyle w:val="BodyText"/>
              <w:spacing w:after="0"/>
              <w:rPr>
                <w:b/>
                <w:sz w:val="20"/>
              </w:rPr>
            </w:pPr>
            <w:r w:rsidRPr="000743A9">
              <w:rPr>
                <w:b/>
                <w:sz w:val="20"/>
              </w:rPr>
              <w:t>Re-concurred 10/19/2018.</w:t>
            </w:r>
          </w:p>
        </w:tc>
        <w:tc>
          <w:tcPr>
            <w:tcW w:w="8100" w:type="dxa"/>
            <w:tcBorders>
              <w:top w:val="single" w:sz="4" w:space="0" w:color="auto"/>
              <w:left w:val="single" w:sz="4" w:space="0" w:color="auto"/>
              <w:bottom w:val="single" w:sz="4" w:space="0" w:color="auto"/>
              <w:right w:val="single" w:sz="4" w:space="0" w:color="auto"/>
            </w:tcBorders>
          </w:tcPr>
          <w:p w14:paraId="517DB5A0" w14:textId="1D100E51" w:rsidR="00207664" w:rsidRPr="000743A9" w:rsidRDefault="00207664" w:rsidP="00BF4937">
            <w:pPr>
              <w:pStyle w:val="Heading1"/>
              <w:tabs>
                <w:tab w:val="left" w:pos="6675"/>
              </w:tabs>
              <w:rPr>
                <w:rFonts w:asciiTheme="minorHAnsi" w:hAnsiTheme="minorHAnsi" w:cstheme="majorHAnsi"/>
                <w:color w:val="FF0000"/>
                <w:sz w:val="22"/>
              </w:rPr>
            </w:pPr>
          </w:p>
        </w:tc>
      </w:tr>
      <w:tr w:rsidR="00207664" w:rsidRPr="000743A9" w14:paraId="099E4A5A" w14:textId="77777777" w:rsidTr="00740C0E">
        <w:trPr>
          <w:trHeight w:val="534"/>
        </w:trPr>
        <w:tc>
          <w:tcPr>
            <w:tcW w:w="2065" w:type="dxa"/>
            <w:tcBorders>
              <w:top w:val="single" w:sz="4" w:space="0" w:color="auto"/>
              <w:left w:val="single" w:sz="4" w:space="0" w:color="auto"/>
              <w:bottom w:val="single" w:sz="4" w:space="0" w:color="auto"/>
              <w:right w:val="single" w:sz="4" w:space="0" w:color="auto"/>
            </w:tcBorders>
            <w:hideMark/>
          </w:tcPr>
          <w:p w14:paraId="4743965B" w14:textId="77777777" w:rsidR="00207664" w:rsidRPr="000743A9" w:rsidRDefault="00207664" w:rsidP="00BF4937">
            <w:pPr>
              <w:pStyle w:val="Heading1"/>
              <w:tabs>
                <w:tab w:val="left" w:pos="6675"/>
              </w:tabs>
              <w:rPr>
                <w:rFonts w:asciiTheme="minorHAnsi" w:hAnsiTheme="minorHAnsi" w:cstheme="majorHAnsi"/>
                <w:color w:val="auto"/>
                <w:sz w:val="22"/>
              </w:rPr>
            </w:pPr>
            <w:r w:rsidRPr="000743A9">
              <w:rPr>
                <w:rFonts w:asciiTheme="minorHAnsi" w:hAnsiTheme="minorHAnsi" w:cstheme="majorHAnsi"/>
                <w:color w:val="auto"/>
                <w:sz w:val="22"/>
              </w:rPr>
              <w:t>Army</w:t>
            </w:r>
          </w:p>
        </w:tc>
        <w:tc>
          <w:tcPr>
            <w:tcW w:w="3243" w:type="dxa"/>
            <w:tcBorders>
              <w:top w:val="single" w:sz="4" w:space="0" w:color="auto"/>
              <w:left w:val="single" w:sz="4" w:space="0" w:color="auto"/>
              <w:bottom w:val="single" w:sz="4" w:space="0" w:color="auto"/>
              <w:right w:val="single" w:sz="4" w:space="0" w:color="auto"/>
            </w:tcBorders>
          </w:tcPr>
          <w:p w14:paraId="148662D8" w14:textId="77777777" w:rsidR="00207664" w:rsidRPr="000743A9" w:rsidRDefault="006A66C5" w:rsidP="00BF4937">
            <w:pPr>
              <w:pStyle w:val="Heading1"/>
              <w:tabs>
                <w:tab w:val="left" w:pos="6675"/>
              </w:tabs>
              <w:rPr>
                <w:rFonts w:asciiTheme="minorHAnsi" w:hAnsiTheme="minorHAnsi" w:cstheme="majorHAnsi"/>
                <w:color w:val="000000" w:themeColor="text1"/>
                <w:sz w:val="22"/>
                <w:szCs w:val="24"/>
              </w:rPr>
            </w:pPr>
            <w:r w:rsidRPr="000743A9">
              <w:rPr>
                <w:rFonts w:asciiTheme="minorHAnsi" w:hAnsiTheme="minorHAnsi" w:cstheme="majorHAnsi"/>
                <w:color w:val="000000" w:themeColor="text1"/>
                <w:sz w:val="22"/>
                <w:szCs w:val="24"/>
              </w:rPr>
              <w:t>Concurrence on 3/13/2018</w:t>
            </w:r>
            <w:r w:rsidR="00740C0E" w:rsidRPr="000743A9">
              <w:rPr>
                <w:rFonts w:asciiTheme="minorHAnsi" w:hAnsiTheme="minorHAnsi" w:cstheme="majorHAnsi"/>
                <w:color w:val="000000" w:themeColor="text1"/>
                <w:sz w:val="22"/>
                <w:szCs w:val="24"/>
              </w:rPr>
              <w:t>.</w:t>
            </w:r>
          </w:p>
          <w:p w14:paraId="06EBF62E" w14:textId="28FD165B" w:rsidR="00740C0E" w:rsidRPr="000743A9" w:rsidRDefault="00740C0E" w:rsidP="00740C0E">
            <w:pPr>
              <w:pStyle w:val="BodyText"/>
              <w:spacing w:after="0"/>
              <w:rPr>
                <w:b/>
                <w:sz w:val="20"/>
              </w:rPr>
            </w:pPr>
            <w:r w:rsidRPr="000743A9">
              <w:rPr>
                <w:b/>
                <w:sz w:val="20"/>
              </w:rPr>
              <w:t>Re-concurred 11/2/2018.</w:t>
            </w:r>
          </w:p>
        </w:tc>
        <w:tc>
          <w:tcPr>
            <w:tcW w:w="8100" w:type="dxa"/>
            <w:tcBorders>
              <w:top w:val="single" w:sz="4" w:space="0" w:color="auto"/>
              <w:left w:val="single" w:sz="4" w:space="0" w:color="auto"/>
              <w:bottom w:val="single" w:sz="4" w:space="0" w:color="auto"/>
              <w:right w:val="single" w:sz="4" w:space="0" w:color="auto"/>
            </w:tcBorders>
          </w:tcPr>
          <w:p w14:paraId="25500360" w14:textId="7C38AAAB" w:rsidR="00207664" w:rsidRPr="000743A9" w:rsidRDefault="00207664" w:rsidP="00BF4937">
            <w:pPr>
              <w:pStyle w:val="Heading1"/>
              <w:tabs>
                <w:tab w:val="left" w:pos="6675"/>
              </w:tabs>
              <w:rPr>
                <w:rFonts w:asciiTheme="minorHAnsi" w:hAnsiTheme="minorHAnsi" w:cstheme="majorHAnsi"/>
                <w:color w:val="FF0000"/>
                <w:sz w:val="22"/>
              </w:rPr>
            </w:pPr>
          </w:p>
        </w:tc>
      </w:tr>
      <w:tr w:rsidR="00207664" w:rsidRPr="000743A9" w14:paraId="6C1C1F0C" w14:textId="77777777" w:rsidTr="00740C0E">
        <w:trPr>
          <w:trHeight w:val="525"/>
        </w:trPr>
        <w:tc>
          <w:tcPr>
            <w:tcW w:w="2065" w:type="dxa"/>
            <w:tcBorders>
              <w:top w:val="single" w:sz="4" w:space="0" w:color="auto"/>
              <w:left w:val="single" w:sz="4" w:space="0" w:color="auto"/>
              <w:bottom w:val="single" w:sz="4" w:space="0" w:color="auto"/>
              <w:right w:val="single" w:sz="4" w:space="0" w:color="auto"/>
            </w:tcBorders>
            <w:hideMark/>
          </w:tcPr>
          <w:p w14:paraId="18971552" w14:textId="77777777" w:rsidR="00207664" w:rsidRPr="000743A9" w:rsidRDefault="00207664" w:rsidP="00BF4937">
            <w:pPr>
              <w:pStyle w:val="Heading1"/>
              <w:tabs>
                <w:tab w:val="left" w:pos="6675"/>
              </w:tabs>
              <w:rPr>
                <w:rFonts w:asciiTheme="minorHAnsi" w:hAnsiTheme="minorHAnsi" w:cstheme="majorHAnsi"/>
                <w:color w:val="auto"/>
                <w:sz w:val="22"/>
              </w:rPr>
            </w:pPr>
            <w:r w:rsidRPr="000743A9">
              <w:rPr>
                <w:rFonts w:asciiTheme="minorHAnsi" w:hAnsiTheme="minorHAnsi" w:cstheme="majorHAnsi"/>
                <w:color w:val="auto"/>
                <w:sz w:val="22"/>
              </w:rPr>
              <w:t xml:space="preserve">Marines </w:t>
            </w:r>
          </w:p>
        </w:tc>
        <w:tc>
          <w:tcPr>
            <w:tcW w:w="3243" w:type="dxa"/>
            <w:tcBorders>
              <w:top w:val="single" w:sz="4" w:space="0" w:color="auto"/>
              <w:left w:val="single" w:sz="4" w:space="0" w:color="auto"/>
              <w:bottom w:val="single" w:sz="4" w:space="0" w:color="auto"/>
              <w:right w:val="single" w:sz="4" w:space="0" w:color="auto"/>
            </w:tcBorders>
          </w:tcPr>
          <w:p w14:paraId="25395BE1" w14:textId="77777777" w:rsidR="00207664" w:rsidRPr="000743A9" w:rsidRDefault="006A66C5" w:rsidP="00BF4937">
            <w:pPr>
              <w:pStyle w:val="Heading1"/>
              <w:tabs>
                <w:tab w:val="left" w:pos="6675"/>
              </w:tabs>
              <w:rPr>
                <w:rFonts w:asciiTheme="minorHAnsi" w:hAnsiTheme="minorHAnsi" w:cstheme="majorHAnsi"/>
                <w:color w:val="000000" w:themeColor="text1"/>
                <w:sz w:val="22"/>
                <w:szCs w:val="24"/>
              </w:rPr>
            </w:pPr>
            <w:r w:rsidRPr="000743A9">
              <w:rPr>
                <w:rFonts w:asciiTheme="minorHAnsi" w:hAnsiTheme="minorHAnsi" w:cstheme="majorHAnsi"/>
                <w:color w:val="000000" w:themeColor="text1"/>
                <w:sz w:val="22"/>
                <w:szCs w:val="24"/>
              </w:rPr>
              <w:t>Concurrence on 3/13/2018</w:t>
            </w:r>
            <w:r w:rsidR="00740C0E" w:rsidRPr="000743A9">
              <w:rPr>
                <w:rFonts w:asciiTheme="minorHAnsi" w:hAnsiTheme="minorHAnsi" w:cstheme="majorHAnsi"/>
                <w:color w:val="000000" w:themeColor="text1"/>
                <w:sz w:val="22"/>
                <w:szCs w:val="24"/>
              </w:rPr>
              <w:t>.</w:t>
            </w:r>
          </w:p>
          <w:p w14:paraId="7719AE39" w14:textId="3155D543" w:rsidR="00740C0E" w:rsidRPr="000743A9" w:rsidRDefault="00740C0E" w:rsidP="00740C0E">
            <w:pPr>
              <w:pStyle w:val="BodyText"/>
              <w:spacing w:after="0"/>
              <w:rPr>
                <w:b/>
                <w:sz w:val="20"/>
              </w:rPr>
            </w:pPr>
            <w:r w:rsidRPr="000743A9">
              <w:rPr>
                <w:b/>
                <w:sz w:val="20"/>
              </w:rPr>
              <w:t>Re-concurred 10/31/2018.</w:t>
            </w:r>
          </w:p>
        </w:tc>
        <w:tc>
          <w:tcPr>
            <w:tcW w:w="8100" w:type="dxa"/>
            <w:tcBorders>
              <w:top w:val="single" w:sz="4" w:space="0" w:color="auto"/>
              <w:left w:val="single" w:sz="4" w:space="0" w:color="auto"/>
              <w:bottom w:val="single" w:sz="4" w:space="0" w:color="auto"/>
              <w:right w:val="single" w:sz="4" w:space="0" w:color="auto"/>
            </w:tcBorders>
          </w:tcPr>
          <w:p w14:paraId="2F3DACD4" w14:textId="1712D8F9" w:rsidR="00207664" w:rsidRPr="000743A9" w:rsidRDefault="00207664" w:rsidP="00BF4937">
            <w:pPr>
              <w:pStyle w:val="Heading1"/>
              <w:tabs>
                <w:tab w:val="left" w:pos="6675"/>
              </w:tabs>
              <w:rPr>
                <w:rFonts w:asciiTheme="minorHAnsi" w:hAnsiTheme="minorHAnsi" w:cstheme="majorHAnsi"/>
                <w:color w:val="FF0000"/>
                <w:sz w:val="22"/>
              </w:rPr>
            </w:pPr>
          </w:p>
        </w:tc>
      </w:tr>
      <w:tr w:rsidR="00207664" w:rsidRPr="000743A9" w14:paraId="52B048EF" w14:textId="77777777" w:rsidTr="00740C0E">
        <w:trPr>
          <w:trHeight w:val="534"/>
        </w:trPr>
        <w:tc>
          <w:tcPr>
            <w:tcW w:w="2065" w:type="dxa"/>
            <w:tcBorders>
              <w:top w:val="single" w:sz="4" w:space="0" w:color="auto"/>
              <w:left w:val="single" w:sz="4" w:space="0" w:color="auto"/>
              <w:bottom w:val="single" w:sz="4" w:space="0" w:color="auto"/>
              <w:right w:val="single" w:sz="4" w:space="0" w:color="auto"/>
            </w:tcBorders>
            <w:hideMark/>
          </w:tcPr>
          <w:p w14:paraId="0DE00DFE" w14:textId="77777777" w:rsidR="00207664" w:rsidRPr="000743A9" w:rsidRDefault="00207664" w:rsidP="00BF4937">
            <w:pPr>
              <w:pStyle w:val="Heading1"/>
              <w:tabs>
                <w:tab w:val="left" w:pos="6675"/>
              </w:tabs>
              <w:rPr>
                <w:rFonts w:asciiTheme="minorHAnsi" w:hAnsiTheme="minorHAnsi" w:cstheme="majorHAnsi"/>
                <w:color w:val="auto"/>
                <w:sz w:val="22"/>
              </w:rPr>
            </w:pPr>
            <w:r w:rsidRPr="000743A9">
              <w:rPr>
                <w:rFonts w:asciiTheme="minorHAnsi" w:hAnsiTheme="minorHAnsi" w:cstheme="majorHAnsi"/>
                <w:color w:val="auto"/>
                <w:sz w:val="22"/>
              </w:rPr>
              <w:t>Navy</w:t>
            </w:r>
          </w:p>
        </w:tc>
        <w:tc>
          <w:tcPr>
            <w:tcW w:w="3243" w:type="dxa"/>
            <w:tcBorders>
              <w:top w:val="single" w:sz="4" w:space="0" w:color="auto"/>
              <w:left w:val="single" w:sz="4" w:space="0" w:color="auto"/>
              <w:bottom w:val="single" w:sz="4" w:space="0" w:color="auto"/>
              <w:right w:val="single" w:sz="4" w:space="0" w:color="auto"/>
            </w:tcBorders>
          </w:tcPr>
          <w:p w14:paraId="5E2B5F3B" w14:textId="77777777" w:rsidR="00207664" w:rsidRPr="000743A9" w:rsidRDefault="006A66C5" w:rsidP="00BF4937">
            <w:pPr>
              <w:pStyle w:val="Heading1"/>
              <w:tabs>
                <w:tab w:val="left" w:pos="6675"/>
              </w:tabs>
              <w:rPr>
                <w:rFonts w:asciiTheme="minorHAnsi" w:hAnsiTheme="minorHAnsi" w:cstheme="majorHAnsi"/>
                <w:color w:val="000000" w:themeColor="text1"/>
                <w:sz w:val="22"/>
                <w:szCs w:val="24"/>
              </w:rPr>
            </w:pPr>
            <w:r w:rsidRPr="000743A9">
              <w:rPr>
                <w:rFonts w:asciiTheme="minorHAnsi" w:hAnsiTheme="minorHAnsi" w:cstheme="majorHAnsi"/>
                <w:color w:val="000000" w:themeColor="text1"/>
                <w:sz w:val="22"/>
                <w:szCs w:val="24"/>
              </w:rPr>
              <w:t>Concurrence on 3/13/2018</w:t>
            </w:r>
            <w:r w:rsidR="00740C0E" w:rsidRPr="000743A9">
              <w:rPr>
                <w:rFonts w:asciiTheme="minorHAnsi" w:hAnsiTheme="minorHAnsi" w:cstheme="majorHAnsi"/>
                <w:color w:val="000000" w:themeColor="text1"/>
                <w:sz w:val="22"/>
                <w:szCs w:val="24"/>
              </w:rPr>
              <w:t>.</w:t>
            </w:r>
          </w:p>
          <w:p w14:paraId="67857BD9" w14:textId="44494B75" w:rsidR="00740C0E" w:rsidRPr="000743A9" w:rsidRDefault="00740C0E" w:rsidP="00740C0E">
            <w:pPr>
              <w:pStyle w:val="BodyText"/>
              <w:spacing w:after="0"/>
              <w:rPr>
                <w:b/>
                <w:sz w:val="20"/>
              </w:rPr>
            </w:pPr>
            <w:r w:rsidRPr="000743A9">
              <w:rPr>
                <w:b/>
                <w:sz w:val="20"/>
              </w:rPr>
              <w:t>Re-concurred 11/2/2018.</w:t>
            </w:r>
          </w:p>
        </w:tc>
        <w:tc>
          <w:tcPr>
            <w:tcW w:w="8100" w:type="dxa"/>
            <w:tcBorders>
              <w:top w:val="single" w:sz="4" w:space="0" w:color="auto"/>
              <w:left w:val="single" w:sz="4" w:space="0" w:color="auto"/>
              <w:bottom w:val="single" w:sz="4" w:space="0" w:color="auto"/>
              <w:right w:val="single" w:sz="4" w:space="0" w:color="auto"/>
            </w:tcBorders>
          </w:tcPr>
          <w:p w14:paraId="06ED24FA" w14:textId="049E1D04" w:rsidR="00207664" w:rsidRPr="000743A9" w:rsidRDefault="00207664" w:rsidP="00DA22AB">
            <w:pPr>
              <w:pStyle w:val="Heading1"/>
              <w:tabs>
                <w:tab w:val="left" w:pos="6675"/>
              </w:tabs>
              <w:rPr>
                <w:rFonts w:asciiTheme="minorHAnsi" w:hAnsiTheme="minorHAnsi" w:cstheme="majorHAnsi"/>
                <w:color w:val="auto"/>
                <w:sz w:val="22"/>
              </w:rPr>
            </w:pPr>
          </w:p>
        </w:tc>
      </w:tr>
    </w:tbl>
    <w:p w14:paraId="4FEAE8EB" w14:textId="77777777" w:rsidR="00207664" w:rsidRPr="000743A9" w:rsidRDefault="00207664" w:rsidP="00207664">
      <w:pPr>
        <w:pStyle w:val="Heading1"/>
        <w:tabs>
          <w:tab w:val="left" w:pos="6675"/>
        </w:tabs>
        <w:ind w:left="-2160" w:firstLine="180"/>
        <w:rPr>
          <w:sz w:val="22"/>
        </w:rPr>
      </w:pPr>
    </w:p>
    <w:p w14:paraId="71B3330C" w14:textId="77777777" w:rsidR="00F67EA6" w:rsidRPr="000743A9" w:rsidRDefault="00F67EA6" w:rsidP="00F67EA6">
      <w:pPr>
        <w:pStyle w:val="Heading1"/>
        <w:tabs>
          <w:tab w:val="left" w:pos="6675"/>
        </w:tabs>
        <w:ind w:left="-2160" w:firstLine="180"/>
        <w:rPr>
          <w:sz w:val="22"/>
        </w:rPr>
      </w:pPr>
      <w:r w:rsidRPr="000743A9">
        <w:rPr>
          <w:sz w:val="22"/>
        </w:rPr>
        <w:t>USD(P&amp;R)/MC&amp;FP Disposition</w:t>
      </w:r>
    </w:p>
    <w:p w14:paraId="2C3297EB" w14:textId="7137EAB3" w:rsidR="00EF0F9A" w:rsidRPr="000743A9" w:rsidRDefault="00EF0F9A" w:rsidP="00EF0F9A">
      <w:pPr>
        <w:pStyle w:val="ChapterTitle"/>
        <w:rPr>
          <w:rFonts w:asciiTheme="minorHAnsi" w:hAnsiTheme="minorHAnsi"/>
          <w:sz w:val="22"/>
        </w:rPr>
      </w:pPr>
      <w:r w:rsidRPr="000743A9">
        <w:rPr>
          <w:rFonts w:asciiTheme="minorHAnsi" w:hAnsiTheme="minorHAnsi"/>
          <w:sz w:val="22"/>
        </w:rPr>
        <w:t>Revise DoDI 1015.15. 6.4.2.6.</w:t>
      </w:r>
    </w:p>
    <w:p w14:paraId="3D7E572A" w14:textId="101D5737" w:rsidR="00F67EA6" w:rsidRPr="000743A9" w:rsidRDefault="00F67EA6" w:rsidP="00F67EA6"/>
    <w:p w14:paraId="32E2CA37" w14:textId="77777777" w:rsidR="00F67EA6" w:rsidRPr="000743A9" w:rsidRDefault="00F67EA6" w:rsidP="00F67EA6">
      <w:pPr>
        <w:ind w:left="-1980"/>
        <w:rPr>
          <w:rFonts w:ascii="Arial Black" w:hAnsi="Arial Black"/>
          <w:b/>
          <w:color w:val="4F2D7F"/>
        </w:rPr>
      </w:pPr>
      <w:r w:rsidRPr="000743A9">
        <w:rPr>
          <w:rFonts w:ascii="Arial Black" w:hAnsi="Arial Black"/>
          <w:b/>
          <w:color w:val="4F2D7F"/>
        </w:rPr>
        <w:t>DFAS Disposition</w:t>
      </w:r>
    </w:p>
    <w:p w14:paraId="528C320F" w14:textId="6356C5D9" w:rsidR="00EF0F9A" w:rsidRPr="000743A9" w:rsidRDefault="00EF0F9A" w:rsidP="00EF0F9A">
      <w:pPr>
        <w:pStyle w:val="ChapterTitle"/>
        <w:rPr>
          <w:rFonts w:asciiTheme="minorHAnsi" w:hAnsiTheme="minorHAnsi"/>
          <w:sz w:val="22"/>
        </w:rPr>
      </w:pPr>
      <w:r w:rsidRPr="000743A9">
        <w:rPr>
          <w:rFonts w:asciiTheme="minorHAnsi" w:hAnsiTheme="minorHAnsi"/>
          <w:sz w:val="22"/>
        </w:rPr>
        <w:t xml:space="preserve">Revise FMR Volume 13, Chapter </w:t>
      </w:r>
      <w:r w:rsidR="00816DAF" w:rsidRPr="000743A9">
        <w:rPr>
          <w:rFonts w:asciiTheme="minorHAnsi" w:hAnsiTheme="minorHAnsi"/>
          <w:sz w:val="22"/>
        </w:rPr>
        <w:t>2</w:t>
      </w:r>
      <w:r w:rsidRPr="000743A9">
        <w:rPr>
          <w:rFonts w:asciiTheme="minorHAnsi" w:hAnsiTheme="minorHAnsi"/>
          <w:sz w:val="22"/>
        </w:rPr>
        <w:t>, para 0</w:t>
      </w:r>
      <w:r w:rsidR="00816DAF" w:rsidRPr="000743A9">
        <w:rPr>
          <w:rFonts w:asciiTheme="minorHAnsi" w:hAnsiTheme="minorHAnsi"/>
          <w:sz w:val="22"/>
        </w:rPr>
        <w:t>20406.</w:t>
      </w:r>
    </w:p>
    <w:p w14:paraId="2BEB250A" w14:textId="5BB88356" w:rsidR="00F67EA6" w:rsidRPr="000743A9" w:rsidRDefault="00F67EA6" w:rsidP="00F67EA6">
      <w:r w:rsidRPr="000743A9">
        <w:t xml:space="preserve">       </w:t>
      </w:r>
    </w:p>
    <w:p w14:paraId="76F8CBE4" w14:textId="77777777" w:rsidR="00F67EA6" w:rsidRPr="000743A9" w:rsidRDefault="00F67EA6" w:rsidP="00F67EA6">
      <w:pPr>
        <w:pStyle w:val="Heading1"/>
        <w:tabs>
          <w:tab w:val="left" w:pos="6675"/>
        </w:tabs>
        <w:ind w:left="-2160" w:firstLine="180"/>
        <w:rPr>
          <w:sz w:val="22"/>
        </w:rPr>
      </w:pPr>
      <w:r w:rsidRPr="000743A9">
        <w:rPr>
          <w:sz w:val="22"/>
        </w:rPr>
        <w:t>Forward to DoDIG?</w:t>
      </w:r>
    </w:p>
    <w:p w14:paraId="1BBDFE21" w14:textId="77777777" w:rsidR="00EF0F9A" w:rsidRPr="000743A9" w:rsidRDefault="00EF0F9A" w:rsidP="00EF0F9A">
      <w:pPr>
        <w:pStyle w:val="ChapterTitle"/>
        <w:rPr>
          <w:rFonts w:asciiTheme="minorHAnsi" w:hAnsiTheme="minorHAnsi"/>
          <w:sz w:val="22"/>
        </w:rPr>
      </w:pPr>
      <w:r w:rsidRPr="000743A9">
        <w:rPr>
          <w:rFonts w:asciiTheme="minorHAnsi" w:hAnsiTheme="minorHAnsi"/>
          <w:sz w:val="22"/>
        </w:rPr>
        <w:t>No DoDIG equities.</w:t>
      </w:r>
    </w:p>
    <w:p w14:paraId="3952A2AD" w14:textId="57714B45" w:rsidR="00207664" w:rsidRPr="000743A9" w:rsidRDefault="00207664" w:rsidP="00EF0F9A">
      <w:pPr>
        <w:pStyle w:val="Heading1"/>
        <w:tabs>
          <w:tab w:val="left" w:pos="6675"/>
        </w:tabs>
        <w:rPr>
          <w:sz w:val="22"/>
        </w:rPr>
      </w:pPr>
    </w:p>
    <w:p w14:paraId="3237A496" w14:textId="77777777" w:rsidR="00207664" w:rsidRPr="000743A9" w:rsidRDefault="00207664" w:rsidP="00207664">
      <w:pPr>
        <w:ind w:left="-810"/>
      </w:pPr>
    </w:p>
    <w:sectPr w:rsidR="00207664" w:rsidRPr="000743A9" w:rsidSect="00BB5F9B">
      <w:headerReference w:type="default" r:id="rId11"/>
      <w:footerReference w:type="default" r:id="rId12"/>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F2DF3" w14:textId="77777777" w:rsidR="009A79BD" w:rsidRDefault="009A79BD">
      <w:r>
        <w:separator/>
      </w:r>
    </w:p>
  </w:endnote>
  <w:endnote w:type="continuationSeparator" w:id="0">
    <w:p w14:paraId="1A7F40A3" w14:textId="77777777" w:rsidR="009A79BD" w:rsidRDefault="009A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48FADB89" w14:textId="47D8A91F" w:rsidR="00916522" w:rsidRDefault="008968CA" w:rsidP="00916522">
        <w:pPr>
          <w:pStyle w:val="Footer"/>
          <w:jc w:val="right"/>
          <w:rPr>
            <w:noProof/>
          </w:rPr>
        </w:pPr>
        <w:r>
          <w:fldChar w:fldCharType="begin"/>
        </w:r>
        <w:r>
          <w:instrText xml:space="preserve"> PAGE   \* MERGEFORMAT </w:instrText>
        </w:r>
        <w:r>
          <w:fldChar w:fldCharType="separate"/>
        </w:r>
        <w:r w:rsidR="000743A9">
          <w:rPr>
            <w:noProof/>
          </w:rPr>
          <w:t>1</w:t>
        </w:r>
        <w:r>
          <w:rPr>
            <w:noProof/>
          </w:rPr>
          <w:fldChar w:fldCharType="end"/>
        </w:r>
      </w:p>
      <w:p w14:paraId="70103CF6" w14:textId="5D14AD48" w:rsidR="00F67EA6" w:rsidRDefault="00F67EA6" w:rsidP="00916522">
        <w:pPr>
          <w:pStyle w:val="Footer"/>
          <w:jc w:val="right"/>
          <w:rPr>
            <w:noProof/>
          </w:rPr>
        </w:pPr>
        <w:r>
          <w:rPr>
            <w:noProof/>
          </w:rPr>
          <w:t>September 11, 2018</w:t>
        </w:r>
      </w:p>
      <w:p w14:paraId="5AC4E8F7" w14:textId="01213D24" w:rsidR="00834B9A" w:rsidRDefault="000743A9" w:rsidP="00C802FB">
        <w:pPr>
          <w:pStyle w:val="Footer"/>
          <w:jc w:val="center"/>
        </w:pPr>
      </w:p>
    </w:sdtContent>
  </w:sdt>
  <w:p w14:paraId="4F2A2F89" w14:textId="77777777" w:rsidR="00834B9A" w:rsidRDefault="00074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F17D1" w14:textId="77777777" w:rsidR="009A79BD" w:rsidRDefault="009A79BD">
      <w:r>
        <w:separator/>
      </w:r>
    </w:p>
  </w:footnote>
  <w:footnote w:type="continuationSeparator" w:id="0">
    <w:p w14:paraId="53551192" w14:textId="77777777" w:rsidR="009A79BD" w:rsidRDefault="009A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FCDC" w14:textId="77777777" w:rsidR="00F67EA6" w:rsidRDefault="00F67EA6" w:rsidP="00594D3C">
    <w:pPr>
      <w:pStyle w:val="Header"/>
      <w:tabs>
        <w:tab w:val="clear" w:pos="8562"/>
      </w:tabs>
      <w:ind w:left="-1440" w:right="891"/>
      <w:jc w:val="center"/>
      <w:rPr>
        <w:rFonts w:asciiTheme="minorHAnsi" w:hAnsiTheme="minorHAnsi"/>
        <w:sz w:val="32"/>
      </w:rPr>
    </w:pPr>
    <w:r>
      <w:rPr>
        <w:rFonts w:asciiTheme="minorHAnsi" w:hAnsiTheme="minorHAnsi"/>
        <w:sz w:val="32"/>
      </w:rPr>
      <w:t>NAF Accounting Working Group</w:t>
    </w:r>
  </w:p>
  <w:p w14:paraId="2CDBF98F" w14:textId="2BDF531F" w:rsidR="00834B9A" w:rsidRDefault="006C040A" w:rsidP="00594D3C">
    <w:pPr>
      <w:pStyle w:val="Header"/>
      <w:tabs>
        <w:tab w:val="clear" w:pos="8562"/>
      </w:tabs>
      <w:ind w:left="-1440" w:right="891"/>
      <w:jc w:val="center"/>
      <w:rPr>
        <w:rFonts w:asciiTheme="minorHAnsi" w:hAnsiTheme="minorHAnsi"/>
        <w:sz w:val="32"/>
      </w:rPr>
    </w:pPr>
    <w:r>
      <w:rPr>
        <w:rFonts w:asciiTheme="minorHAnsi" w:hAnsiTheme="minorHAnsi"/>
        <w:sz w:val="32"/>
      </w:rPr>
      <w:t xml:space="preserve">Depreciation </w:t>
    </w:r>
    <w:r w:rsidR="00F67EA6">
      <w:rPr>
        <w:rFonts w:asciiTheme="minorHAnsi" w:hAnsiTheme="minorHAnsi"/>
        <w:sz w:val="32"/>
      </w:rPr>
      <w:t>as an Operating Expense</w:t>
    </w:r>
  </w:p>
  <w:p w14:paraId="0231BF71" w14:textId="57481744" w:rsidR="00F056AE" w:rsidRDefault="00B24A11" w:rsidP="00F056AE">
    <w:pPr>
      <w:pStyle w:val="Header"/>
      <w:ind w:left="-1440" w:right="891"/>
      <w:jc w:val="center"/>
      <w:rPr>
        <w:rFonts w:asciiTheme="minorHAnsi" w:hAnsiTheme="minorHAnsi"/>
        <w:sz w:val="32"/>
      </w:rPr>
    </w:pPr>
    <w:r>
      <w:rPr>
        <w:rFonts w:asciiTheme="minorHAnsi" w:hAnsiTheme="minorHAnsi"/>
        <w:sz w:val="32"/>
      </w:rPr>
      <w:t>Position Paper</w:t>
    </w:r>
    <w:r w:rsidR="00F056AE">
      <w:rPr>
        <w:rFonts w:asciiTheme="minorHAnsi" w:hAnsiTheme="minorHAnsi"/>
        <w:sz w:val="32"/>
      </w:rPr>
      <w:t xml:space="preserve"> #20</w:t>
    </w:r>
  </w:p>
  <w:p w14:paraId="3184A5E1" w14:textId="77777777" w:rsidR="00F67EA6" w:rsidRPr="00437683" w:rsidRDefault="00F67EA6" w:rsidP="00F056AE">
    <w:pPr>
      <w:pStyle w:val="Header"/>
      <w:ind w:left="-1440" w:right="891"/>
      <w:jc w:val="center"/>
      <w:rPr>
        <w:rFonts w:asciiTheme="minorHAnsi" w:hAnsiTheme="minorHAnsi"/>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4AC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A4A9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7" w15:restartNumberingAfterBreak="0">
    <w:nsid w:val="FFFFFF83"/>
    <w:multiLevelType w:val="singleLevel"/>
    <w:tmpl w:val="571666CA"/>
    <w:lvl w:ilvl="0">
      <w:start w:val="1"/>
      <w:numFmt w:val="bullet"/>
      <w:lvlText w:val=""/>
      <w:lvlJc w:val="left"/>
      <w:pPr>
        <w:tabs>
          <w:tab w:val="num" w:pos="641"/>
        </w:tabs>
        <w:ind w:left="641" w:hanging="284"/>
      </w:pPr>
      <w:rPr>
        <w:rFonts w:ascii="Symbol" w:hAnsi="Symbol" w:hint="default"/>
        <w:color w:val="632163"/>
      </w:rPr>
    </w:lvl>
  </w:abstractNum>
  <w:abstractNum w:abstractNumId="8" w15:restartNumberingAfterBreak="0">
    <w:nsid w:val="FFFFFF88"/>
    <w:multiLevelType w:val="singleLevel"/>
    <w:tmpl w:val="8C6C7FB2"/>
    <w:lvl w:ilvl="0">
      <w:start w:val="1"/>
      <w:numFmt w:val="decimal"/>
      <w:lvlText w:val="%1."/>
      <w:lvlJc w:val="left"/>
      <w:pPr>
        <w:tabs>
          <w:tab w:val="num" w:pos="360"/>
        </w:tabs>
        <w:ind w:left="360" w:hanging="360"/>
      </w:pPr>
    </w:lvl>
  </w:abstractNum>
  <w:abstractNum w:abstractNumId="9" w15:restartNumberingAfterBreak="0">
    <w:nsid w:val="068B23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0171DB"/>
    <w:multiLevelType w:val="hybridMultilevel"/>
    <w:tmpl w:val="9DF2F16A"/>
    <w:lvl w:ilvl="0" w:tplc="A420CAFC">
      <w:start w:val="1"/>
      <w:numFmt w:val="bullet"/>
      <w:lvlText w:val="o"/>
      <w:lvlJc w:val="left"/>
      <w:pPr>
        <w:tabs>
          <w:tab w:val="num" w:pos="907"/>
        </w:tabs>
        <w:ind w:left="907" w:hanging="397"/>
      </w:pPr>
      <w:rPr>
        <w:rFonts w:ascii="Courier New" w:hAnsi="Courier New" w:hint="default"/>
        <w:color w:val="632163"/>
      </w:rPr>
    </w:lvl>
    <w:lvl w:ilvl="1" w:tplc="D89C9A22">
      <w:start w:val="1"/>
      <w:numFmt w:val="bullet"/>
      <w:lvlText w:val="o"/>
      <w:lvlJc w:val="left"/>
      <w:pPr>
        <w:tabs>
          <w:tab w:val="num" w:pos="1077"/>
        </w:tabs>
        <w:ind w:left="1077" w:hanging="397"/>
      </w:pPr>
      <w:rPr>
        <w:rFonts w:ascii="Courier New" w:hAnsi="Courier New" w:hint="default"/>
      </w:rPr>
    </w:lvl>
    <w:lvl w:ilvl="2" w:tplc="AE5EB8C6" w:tentative="1">
      <w:start w:val="1"/>
      <w:numFmt w:val="bullet"/>
      <w:lvlText w:val=""/>
      <w:lvlJc w:val="left"/>
      <w:pPr>
        <w:tabs>
          <w:tab w:val="num" w:pos="2160"/>
        </w:tabs>
        <w:ind w:left="2160" w:hanging="360"/>
      </w:pPr>
      <w:rPr>
        <w:rFonts w:ascii="Wingdings" w:hAnsi="Wingdings" w:hint="default"/>
      </w:rPr>
    </w:lvl>
    <w:lvl w:ilvl="3" w:tplc="223A4E6A" w:tentative="1">
      <w:start w:val="1"/>
      <w:numFmt w:val="bullet"/>
      <w:lvlText w:val=""/>
      <w:lvlJc w:val="left"/>
      <w:pPr>
        <w:tabs>
          <w:tab w:val="num" w:pos="2880"/>
        </w:tabs>
        <w:ind w:left="2880" w:hanging="360"/>
      </w:pPr>
      <w:rPr>
        <w:rFonts w:ascii="Symbol" w:hAnsi="Symbol" w:hint="default"/>
      </w:rPr>
    </w:lvl>
    <w:lvl w:ilvl="4" w:tplc="92506CEC" w:tentative="1">
      <w:start w:val="1"/>
      <w:numFmt w:val="bullet"/>
      <w:lvlText w:val="o"/>
      <w:lvlJc w:val="left"/>
      <w:pPr>
        <w:tabs>
          <w:tab w:val="num" w:pos="3600"/>
        </w:tabs>
        <w:ind w:left="3600" w:hanging="360"/>
      </w:pPr>
      <w:rPr>
        <w:rFonts w:ascii="Courier New" w:hAnsi="Courier New" w:cs="Wingdings" w:hint="default"/>
      </w:rPr>
    </w:lvl>
    <w:lvl w:ilvl="5" w:tplc="2EF4A9E8" w:tentative="1">
      <w:start w:val="1"/>
      <w:numFmt w:val="bullet"/>
      <w:lvlText w:val=""/>
      <w:lvlJc w:val="left"/>
      <w:pPr>
        <w:tabs>
          <w:tab w:val="num" w:pos="4320"/>
        </w:tabs>
        <w:ind w:left="4320" w:hanging="360"/>
      </w:pPr>
      <w:rPr>
        <w:rFonts w:ascii="Wingdings" w:hAnsi="Wingdings" w:hint="default"/>
      </w:rPr>
    </w:lvl>
    <w:lvl w:ilvl="6" w:tplc="A0E283A2" w:tentative="1">
      <w:start w:val="1"/>
      <w:numFmt w:val="bullet"/>
      <w:lvlText w:val=""/>
      <w:lvlJc w:val="left"/>
      <w:pPr>
        <w:tabs>
          <w:tab w:val="num" w:pos="5040"/>
        </w:tabs>
        <w:ind w:left="5040" w:hanging="360"/>
      </w:pPr>
      <w:rPr>
        <w:rFonts w:ascii="Symbol" w:hAnsi="Symbol" w:hint="default"/>
      </w:rPr>
    </w:lvl>
    <w:lvl w:ilvl="7" w:tplc="66E615FE" w:tentative="1">
      <w:start w:val="1"/>
      <w:numFmt w:val="bullet"/>
      <w:lvlText w:val="o"/>
      <w:lvlJc w:val="left"/>
      <w:pPr>
        <w:tabs>
          <w:tab w:val="num" w:pos="5760"/>
        </w:tabs>
        <w:ind w:left="5760" w:hanging="360"/>
      </w:pPr>
      <w:rPr>
        <w:rFonts w:ascii="Courier New" w:hAnsi="Courier New" w:cs="Wingdings" w:hint="default"/>
      </w:rPr>
    </w:lvl>
    <w:lvl w:ilvl="8" w:tplc="0902F1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393AE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79553E"/>
    <w:multiLevelType w:val="hybridMultilevel"/>
    <w:tmpl w:val="F6387F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1016035"/>
    <w:multiLevelType w:val="multilevel"/>
    <w:tmpl w:val="C2A243C0"/>
    <w:lvl w:ilvl="0">
      <w:start w:val="1"/>
      <w:numFmt w:val="decimal"/>
      <w:isLgl/>
      <w:lvlText w:val="%1."/>
      <w:lvlJc w:val="left"/>
      <w:pPr>
        <w:tabs>
          <w:tab w:val="num" w:pos="397"/>
        </w:tabs>
        <w:ind w:left="397" w:hanging="397"/>
      </w:pPr>
      <w:rPr>
        <w:rFonts w:hint="default"/>
      </w:rPr>
    </w:lvl>
    <w:lvl w:ilvl="1">
      <w:start w:val="1"/>
      <w:numFmt w:val="decimal"/>
      <w:lvlText w:val="%1.%2."/>
      <w:lvlJc w:val="left"/>
      <w:pPr>
        <w:tabs>
          <w:tab w:val="num" w:pos="1021"/>
        </w:tabs>
        <w:ind w:left="1021" w:hanging="624"/>
      </w:pPr>
      <w:rPr>
        <w:rFonts w:hint="default"/>
      </w:rPr>
    </w:lvl>
    <w:lvl w:ilvl="2">
      <w:start w:val="1"/>
      <w:numFmt w:val="decimal"/>
      <w:lvlText w:val="%1.%2.%3."/>
      <w:lvlJc w:val="left"/>
      <w:pPr>
        <w:tabs>
          <w:tab w:val="num" w:pos="1474"/>
        </w:tabs>
        <w:ind w:left="1474" w:hanging="510"/>
      </w:pPr>
      <w:rPr>
        <w:rFonts w:hint="default"/>
      </w:rPr>
    </w:lvl>
    <w:lvl w:ilvl="3">
      <w:start w:val="1"/>
      <w:numFmt w:val="bullet"/>
      <w:lvlText w:val=""/>
      <w:lvlJc w:val="left"/>
      <w:pPr>
        <w:tabs>
          <w:tab w:val="num" w:pos="680"/>
        </w:tabs>
        <w:ind w:left="680" w:hanging="323"/>
      </w:pPr>
      <w:rPr>
        <w:rFonts w:ascii="Symbol" w:hAnsi="Symbol" w:hint="default"/>
      </w:rPr>
    </w:lvl>
    <w:lvl w:ilvl="4">
      <w:start w:val="1"/>
      <w:numFmt w:val="bullet"/>
      <w:lvlRestart w:val="0"/>
      <w:lvlText w:val=""/>
      <w:lvlJc w:val="left"/>
      <w:pPr>
        <w:tabs>
          <w:tab w:val="num" w:pos="680"/>
        </w:tabs>
        <w:ind w:left="680" w:hanging="323"/>
      </w:pPr>
      <w:rPr>
        <w:rFonts w:ascii="Symbol" w:hAnsi="Symbol"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1FE3976"/>
    <w:multiLevelType w:val="multilevel"/>
    <w:tmpl w:val="2EC0E21A"/>
    <w:lvl w:ilvl="0">
      <w:start w:val="1"/>
      <w:numFmt w:val="decimal"/>
      <w:lvlText w:val="%1."/>
      <w:lvlJc w:val="left"/>
      <w:pPr>
        <w:tabs>
          <w:tab w:val="num" w:pos="926"/>
        </w:tabs>
        <w:ind w:left="92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4264FB"/>
    <w:multiLevelType w:val="multilevel"/>
    <w:tmpl w:val="79C604F0"/>
    <w:lvl w:ilvl="0">
      <w:start w:val="1"/>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0E7E82"/>
    <w:multiLevelType w:val="hybridMultilevel"/>
    <w:tmpl w:val="8DCC3A70"/>
    <w:lvl w:ilvl="0" w:tplc="9EEAFB3E">
      <w:start w:val="1"/>
      <w:numFmt w:val="bullet"/>
      <w:lvlText w:val=""/>
      <w:lvlJc w:val="left"/>
      <w:pPr>
        <w:tabs>
          <w:tab w:val="num" w:pos="357"/>
        </w:tabs>
        <w:ind w:left="357" w:hanging="357"/>
      </w:pPr>
      <w:rPr>
        <w:rFonts w:ascii="Symbol" w:hAnsi="Symbol" w:hint="default"/>
        <w:color w:val="632163"/>
      </w:rPr>
    </w:lvl>
    <w:lvl w:ilvl="1" w:tplc="1BF8421A" w:tentative="1">
      <w:start w:val="1"/>
      <w:numFmt w:val="bullet"/>
      <w:lvlText w:val="o"/>
      <w:lvlJc w:val="left"/>
      <w:pPr>
        <w:tabs>
          <w:tab w:val="num" w:pos="1440"/>
        </w:tabs>
        <w:ind w:left="1440" w:hanging="360"/>
      </w:pPr>
      <w:rPr>
        <w:rFonts w:ascii="Courier New" w:hAnsi="Courier New" w:cs="Wingdings" w:hint="default"/>
      </w:rPr>
    </w:lvl>
    <w:lvl w:ilvl="2" w:tplc="38CC3FC2" w:tentative="1">
      <w:start w:val="1"/>
      <w:numFmt w:val="bullet"/>
      <w:lvlText w:val=""/>
      <w:lvlJc w:val="left"/>
      <w:pPr>
        <w:tabs>
          <w:tab w:val="num" w:pos="2160"/>
        </w:tabs>
        <w:ind w:left="2160" w:hanging="360"/>
      </w:pPr>
      <w:rPr>
        <w:rFonts w:ascii="Wingdings" w:hAnsi="Wingdings" w:hint="default"/>
      </w:rPr>
    </w:lvl>
    <w:lvl w:ilvl="3" w:tplc="4574DFD4" w:tentative="1">
      <w:start w:val="1"/>
      <w:numFmt w:val="bullet"/>
      <w:lvlText w:val=""/>
      <w:lvlJc w:val="left"/>
      <w:pPr>
        <w:tabs>
          <w:tab w:val="num" w:pos="2880"/>
        </w:tabs>
        <w:ind w:left="2880" w:hanging="360"/>
      </w:pPr>
      <w:rPr>
        <w:rFonts w:ascii="Symbol" w:hAnsi="Symbol" w:hint="default"/>
      </w:rPr>
    </w:lvl>
    <w:lvl w:ilvl="4" w:tplc="8564D340" w:tentative="1">
      <w:start w:val="1"/>
      <w:numFmt w:val="bullet"/>
      <w:lvlText w:val="o"/>
      <w:lvlJc w:val="left"/>
      <w:pPr>
        <w:tabs>
          <w:tab w:val="num" w:pos="3600"/>
        </w:tabs>
        <w:ind w:left="3600" w:hanging="360"/>
      </w:pPr>
      <w:rPr>
        <w:rFonts w:ascii="Courier New" w:hAnsi="Courier New" w:cs="Wingdings" w:hint="default"/>
      </w:rPr>
    </w:lvl>
    <w:lvl w:ilvl="5" w:tplc="B4523E64" w:tentative="1">
      <w:start w:val="1"/>
      <w:numFmt w:val="bullet"/>
      <w:lvlText w:val=""/>
      <w:lvlJc w:val="left"/>
      <w:pPr>
        <w:tabs>
          <w:tab w:val="num" w:pos="4320"/>
        </w:tabs>
        <w:ind w:left="4320" w:hanging="360"/>
      </w:pPr>
      <w:rPr>
        <w:rFonts w:ascii="Wingdings" w:hAnsi="Wingdings" w:hint="default"/>
      </w:rPr>
    </w:lvl>
    <w:lvl w:ilvl="6" w:tplc="CBC860A8" w:tentative="1">
      <w:start w:val="1"/>
      <w:numFmt w:val="bullet"/>
      <w:lvlText w:val=""/>
      <w:lvlJc w:val="left"/>
      <w:pPr>
        <w:tabs>
          <w:tab w:val="num" w:pos="5040"/>
        </w:tabs>
        <w:ind w:left="5040" w:hanging="360"/>
      </w:pPr>
      <w:rPr>
        <w:rFonts w:ascii="Symbol" w:hAnsi="Symbol" w:hint="default"/>
      </w:rPr>
    </w:lvl>
    <w:lvl w:ilvl="7" w:tplc="72221F70" w:tentative="1">
      <w:start w:val="1"/>
      <w:numFmt w:val="bullet"/>
      <w:lvlText w:val="o"/>
      <w:lvlJc w:val="left"/>
      <w:pPr>
        <w:tabs>
          <w:tab w:val="num" w:pos="5760"/>
        </w:tabs>
        <w:ind w:left="5760" w:hanging="360"/>
      </w:pPr>
      <w:rPr>
        <w:rFonts w:ascii="Courier New" w:hAnsi="Courier New" w:cs="Wingdings" w:hint="default"/>
      </w:rPr>
    </w:lvl>
    <w:lvl w:ilvl="8" w:tplc="5B5C458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7E5020B8"/>
    <w:multiLevelType w:val="multilevel"/>
    <w:tmpl w:val="273ECCBE"/>
    <w:lvl w:ilvl="0">
      <w:start w:val="1"/>
      <w:numFmt w:val="decimal"/>
      <w:isLgl/>
      <w:lvlText w:val="%1."/>
      <w:lvlJc w:val="left"/>
      <w:pPr>
        <w:tabs>
          <w:tab w:val="num" w:pos="357"/>
        </w:tabs>
        <w:ind w:left="357" w:hanging="357"/>
      </w:pPr>
    </w:lvl>
    <w:lvl w:ilvl="1">
      <w:start w:val="1"/>
      <w:numFmt w:val="decimal"/>
      <w:isLgl/>
      <w:lvlText w:val="%1.%2."/>
      <w:lvlJc w:val="left"/>
      <w:pPr>
        <w:tabs>
          <w:tab w:val="num" w:pos="964"/>
        </w:tabs>
        <w:ind w:left="964" w:hanging="607"/>
      </w:pPr>
    </w:lvl>
    <w:lvl w:ilvl="2">
      <w:start w:val="1"/>
      <w:numFmt w:val="decimal"/>
      <w:isLgl/>
      <w:lvlText w:val="%1.%2.%3."/>
      <w:lvlJc w:val="left"/>
      <w:pPr>
        <w:tabs>
          <w:tab w:val="num" w:pos="1587"/>
        </w:tabs>
        <w:ind w:left="1587" w:hanging="90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7"/>
  </w:num>
  <w:num w:numId="3">
    <w:abstractNumId w:val="7"/>
  </w:num>
  <w:num w:numId="4">
    <w:abstractNumId w:val="6"/>
  </w:num>
  <w:num w:numId="5">
    <w:abstractNumId w:val="6"/>
  </w:num>
  <w:num w:numId="6">
    <w:abstractNumId w:val="8"/>
  </w:num>
  <w:num w:numId="7">
    <w:abstractNumId w:val="8"/>
  </w:num>
  <w:num w:numId="8">
    <w:abstractNumId w:val="3"/>
  </w:num>
  <w:num w:numId="9">
    <w:abstractNumId w:val="3"/>
  </w:num>
  <w:num w:numId="10">
    <w:abstractNumId w:val="20"/>
  </w:num>
  <w:num w:numId="11">
    <w:abstractNumId w:val="22"/>
  </w:num>
  <w:num w:numId="12">
    <w:abstractNumId w:val="10"/>
  </w:num>
  <w:num w:numId="13">
    <w:abstractNumId w:val="8"/>
  </w:num>
  <w:num w:numId="14">
    <w:abstractNumId w:val="3"/>
  </w:num>
  <w:num w:numId="15">
    <w:abstractNumId w:val="22"/>
  </w:num>
  <w:num w:numId="16">
    <w:abstractNumId w:val="8"/>
  </w:num>
  <w:num w:numId="17">
    <w:abstractNumId w:val="21"/>
  </w:num>
  <w:num w:numId="18">
    <w:abstractNumId w:val="21"/>
  </w:num>
  <w:num w:numId="19">
    <w:abstractNumId w:val="12"/>
  </w:num>
  <w:num w:numId="20">
    <w:abstractNumId w:val="12"/>
  </w:num>
  <w:num w:numId="21">
    <w:abstractNumId w:val="7"/>
  </w:num>
  <w:num w:numId="22">
    <w:abstractNumId w:val="5"/>
  </w:num>
  <w:num w:numId="23">
    <w:abstractNumId w:val="4"/>
  </w:num>
  <w:num w:numId="24">
    <w:abstractNumId w:val="2"/>
  </w:num>
  <w:num w:numId="25">
    <w:abstractNumId w:val="1"/>
  </w:num>
  <w:num w:numId="26">
    <w:abstractNumId w:val="0"/>
  </w:num>
  <w:num w:numId="27">
    <w:abstractNumId w:val="15"/>
  </w:num>
  <w:num w:numId="28">
    <w:abstractNumId w:val="19"/>
  </w:num>
  <w:num w:numId="29">
    <w:abstractNumId w:val="18"/>
  </w:num>
  <w:num w:numId="30">
    <w:abstractNumId w:val="11"/>
  </w:num>
  <w:num w:numId="31">
    <w:abstractNumId w:val="9"/>
  </w:num>
  <w:num w:numId="32">
    <w:abstractNumId w:val="13"/>
  </w:num>
  <w:num w:numId="33">
    <w:abstractNumId w:val="16"/>
  </w:num>
  <w:num w:numId="34">
    <w:abstractNumId w:val="16"/>
  </w:num>
  <w:num w:numId="35">
    <w:abstractNumId w:val="15"/>
  </w:num>
  <w:num w:numId="36">
    <w:abstractNumId w:val="15"/>
  </w:num>
  <w:num w:numId="37">
    <w:abstractNumId w:val="15"/>
  </w:num>
  <w:num w:numId="38">
    <w:abstractNumId w:val="15"/>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5D"/>
    <w:rsid w:val="00000AB4"/>
    <w:rsid w:val="00004412"/>
    <w:rsid w:val="000054BE"/>
    <w:rsid w:val="000065EB"/>
    <w:rsid w:val="00007B0A"/>
    <w:rsid w:val="000122CF"/>
    <w:rsid w:val="0002385A"/>
    <w:rsid w:val="00024251"/>
    <w:rsid w:val="00025419"/>
    <w:rsid w:val="00031A55"/>
    <w:rsid w:val="00033BA2"/>
    <w:rsid w:val="000605F7"/>
    <w:rsid w:val="0006315B"/>
    <w:rsid w:val="000743A9"/>
    <w:rsid w:val="00074688"/>
    <w:rsid w:val="00075448"/>
    <w:rsid w:val="000908CD"/>
    <w:rsid w:val="0009111E"/>
    <w:rsid w:val="00095F5B"/>
    <w:rsid w:val="000A6CE1"/>
    <w:rsid w:val="000B28C2"/>
    <w:rsid w:val="000B336B"/>
    <w:rsid w:val="000B6D6F"/>
    <w:rsid w:val="000B6F69"/>
    <w:rsid w:val="000C0C5C"/>
    <w:rsid w:val="000C4485"/>
    <w:rsid w:val="000C44A0"/>
    <w:rsid w:val="000C7B49"/>
    <w:rsid w:val="000D5770"/>
    <w:rsid w:val="000F03B4"/>
    <w:rsid w:val="000F143A"/>
    <w:rsid w:val="000F5F92"/>
    <w:rsid w:val="000F700D"/>
    <w:rsid w:val="001210B7"/>
    <w:rsid w:val="0012715F"/>
    <w:rsid w:val="0013419E"/>
    <w:rsid w:val="00135D79"/>
    <w:rsid w:val="00142850"/>
    <w:rsid w:val="0016459C"/>
    <w:rsid w:val="00170181"/>
    <w:rsid w:val="00181C39"/>
    <w:rsid w:val="0018200C"/>
    <w:rsid w:val="00186328"/>
    <w:rsid w:val="00192F2D"/>
    <w:rsid w:val="00194E79"/>
    <w:rsid w:val="001A3188"/>
    <w:rsid w:val="001A7691"/>
    <w:rsid w:val="001B37EC"/>
    <w:rsid w:val="001C718D"/>
    <w:rsid w:val="001D2C9D"/>
    <w:rsid w:val="001D549D"/>
    <w:rsid w:val="001E1DAE"/>
    <w:rsid w:val="001E2F16"/>
    <w:rsid w:val="001E45B8"/>
    <w:rsid w:val="001E6E0F"/>
    <w:rsid w:val="001E6F57"/>
    <w:rsid w:val="001F4120"/>
    <w:rsid w:val="001F5567"/>
    <w:rsid w:val="001F640E"/>
    <w:rsid w:val="001F6ADB"/>
    <w:rsid w:val="00200A58"/>
    <w:rsid w:val="00203F25"/>
    <w:rsid w:val="0020596A"/>
    <w:rsid w:val="0020614E"/>
    <w:rsid w:val="00207664"/>
    <w:rsid w:val="00211B71"/>
    <w:rsid w:val="002130E9"/>
    <w:rsid w:val="00213D94"/>
    <w:rsid w:val="0022005A"/>
    <w:rsid w:val="002277F3"/>
    <w:rsid w:val="002367AA"/>
    <w:rsid w:val="0024087C"/>
    <w:rsid w:val="00240F67"/>
    <w:rsid w:val="00242FAB"/>
    <w:rsid w:val="00244CA7"/>
    <w:rsid w:val="0024788C"/>
    <w:rsid w:val="00250B41"/>
    <w:rsid w:val="00254EC0"/>
    <w:rsid w:val="00254FC0"/>
    <w:rsid w:val="00255C93"/>
    <w:rsid w:val="00257D56"/>
    <w:rsid w:val="002743F7"/>
    <w:rsid w:val="00281D8A"/>
    <w:rsid w:val="002A11B3"/>
    <w:rsid w:val="002A5C61"/>
    <w:rsid w:val="002C0344"/>
    <w:rsid w:val="002C1F0E"/>
    <w:rsid w:val="002C7327"/>
    <w:rsid w:val="002E0E8B"/>
    <w:rsid w:val="003016AF"/>
    <w:rsid w:val="00305C57"/>
    <w:rsid w:val="00314D6B"/>
    <w:rsid w:val="003427FD"/>
    <w:rsid w:val="00345AF1"/>
    <w:rsid w:val="00356177"/>
    <w:rsid w:val="003571BC"/>
    <w:rsid w:val="00366161"/>
    <w:rsid w:val="00387144"/>
    <w:rsid w:val="00390152"/>
    <w:rsid w:val="0039141D"/>
    <w:rsid w:val="00393D00"/>
    <w:rsid w:val="0039421F"/>
    <w:rsid w:val="003A5365"/>
    <w:rsid w:val="003B0FEE"/>
    <w:rsid w:val="003B314A"/>
    <w:rsid w:val="003B345C"/>
    <w:rsid w:val="003C58C4"/>
    <w:rsid w:val="003C6237"/>
    <w:rsid w:val="003C754E"/>
    <w:rsid w:val="003E168E"/>
    <w:rsid w:val="003E7371"/>
    <w:rsid w:val="003F016B"/>
    <w:rsid w:val="00402D6F"/>
    <w:rsid w:val="00410ED6"/>
    <w:rsid w:val="00415486"/>
    <w:rsid w:val="0044428A"/>
    <w:rsid w:val="00451059"/>
    <w:rsid w:val="00467281"/>
    <w:rsid w:val="00467766"/>
    <w:rsid w:val="00467C44"/>
    <w:rsid w:val="004717AC"/>
    <w:rsid w:val="004741A8"/>
    <w:rsid w:val="00481414"/>
    <w:rsid w:val="004845EF"/>
    <w:rsid w:val="004A519C"/>
    <w:rsid w:val="004B04B3"/>
    <w:rsid w:val="004B57E8"/>
    <w:rsid w:val="004B7828"/>
    <w:rsid w:val="004C01CA"/>
    <w:rsid w:val="004C0BCF"/>
    <w:rsid w:val="004C13D3"/>
    <w:rsid w:val="004C21C7"/>
    <w:rsid w:val="004C39E6"/>
    <w:rsid w:val="004C40E9"/>
    <w:rsid w:val="004C4804"/>
    <w:rsid w:val="004D0E22"/>
    <w:rsid w:val="004E2F92"/>
    <w:rsid w:val="004F084D"/>
    <w:rsid w:val="004F1CE6"/>
    <w:rsid w:val="004F5FC1"/>
    <w:rsid w:val="004F70FE"/>
    <w:rsid w:val="005039E1"/>
    <w:rsid w:val="005056DF"/>
    <w:rsid w:val="00510D0E"/>
    <w:rsid w:val="00520EF0"/>
    <w:rsid w:val="00527903"/>
    <w:rsid w:val="00537351"/>
    <w:rsid w:val="00542085"/>
    <w:rsid w:val="0056384A"/>
    <w:rsid w:val="00564CFA"/>
    <w:rsid w:val="00585548"/>
    <w:rsid w:val="005856AB"/>
    <w:rsid w:val="00587A87"/>
    <w:rsid w:val="00594D3C"/>
    <w:rsid w:val="00595A3C"/>
    <w:rsid w:val="00597BF9"/>
    <w:rsid w:val="005A7F34"/>
    <w:rsid w:val="005B36B4"/>
    <w:rsid w:val="005C7ACF"/>
    <w:rsid w:val="005D1401"/>
    <w:rsid w:val="005D17B9"/>
    <w:rsid w:val="005D4A27"/>
    <w:rsid w:val="005D6F96"/>
    <w:rsid w:val="005D7123"/>
    <w:rsid w:val="005D7CF4"/>
    <w:rsid w:val="005E5264"/>
    <w:rsid w:val="005E5854"/>
    <w:rsid w:val="005E6364"/>
    <w:rsid w:val="005F2F0F"/>
    <w:rsid w:val="005F493E"/>
    <w:rsid w:val="005F4E22"/>
    <w:rsid w:val="00603E97"/>
    <w:rsid w:val="006048BA"/>
    <w:rsid w:val="00604FE9"/>
    <w:rsid w:val="00614C6D"/>
    <w:rsid w:val="00616FCD"/>
    <w:rsid w:val="0062437E"/>
    <w:rsid w:val="00626D26"/>
    <w:rsid w:val="0062779E"/>
    <w:rsid w:val="00646B9B"/>
    <w:rsid w:val="00654240"/>
    <w:rsid w:val="0066455D"/>
    <w:rsid w:val="00675B59"/>
    <w:rsid w:val="006805DE"/>
    <w:rsid w:val="00684320"/>
    <w:rsid w:val="00684A95"/>
    <w:rsid w:val="006857B3"/>
    <w:rsid w:val="00686115"/>
    <w:rsid w:val="006A66C5"/>
    <w:rsid w:val="006A6D8E"/>
    <w:rsid w:val="006B49C1"/>
    <w:rsid w:val="006B6256"/>
    <w:rsid w:val="006B79AA"/>
    <w:rsid w:val="006C040A"/>
    <w:rsid w:val="006C07DB"/>
    <w:rsid w:val="006C1985"/>
    <w:rsid w:val="006C6DA5"/>
    <w:rsid w:val="006E0B49"/>
    <w:rsid w:val="006E5BDF"/>
    <w:rsid w:val="006F48D8"/>
    <w:rsid w:val="006F5613"/>
    <w:rsid w:val="00714585"/>
    <w:rsid w:val="00714A57"/>
    <w:rsid w:val="007251B8"/>
    <w:rsid w:val="0073174E"/>
    <w:rsid w:val="00733B7C"/>
    <w:rsid w:val="0073674A"/>
    <w:rsid w:val="007409D9"/>
    <w:rsid w:val="00740C0E"/>
    <w:rsid w:val="00753436"/>
    <w:rsid w:val="00760C93"/>
    <w:rsid w:val="0076444A"/>
    <w:rsid w:val="00775CD4"/>
    <w:rsid w:val="00780E83"/>
    <w:rsid w:val="00782186"/>
    <w:rsid w:val="00782878"/>
    <w:rsid w:val="00791712"/>
    <w:rsid w:val="00793390"/>
    <w:rsid w:val="007B1005"/>
    <w:rsid w:val="007B62DE"/>
    <w:rsid w:val="007C4C86"/>
    <w:rsid w:val="007D16BF"/>
    <w:rsid w:val="007D477B"/>
    <w:rsid w:val="007D562E"/>
    <w:rsid w:val="007F4529"/>
    <w:rsid w:val="007F59BE"/>
    <w:rsid w:val="008002D2"/>
    <w:rsid w:val="00801103"/>
    <w:rsid w:val="0080621D"/>
    <w:rsid w:val="00811031"/>
    <w:rsid w:val="00814CA5"/>
    <w:rsid w:val="008155A7"/>
    <w:rsid w:val="00816D61"/>
    <w:rsid w:val="00816DAF"/>
    <w:rsid w:val="0082211C"/>
    <w:rsid w:val="0082399E"/>
    <w:rsid w:val="008241D2"/>
    <w:rsid w:val="0082535E"/>
    <w:rsid w:val="00836241"/>
    <w:rsid w:val="00841819"/>
    <w:rsid w:val="00850E2C"/>
    <w:rsid w:val="0085319D"/>
    <w:rsid w:val="008612FE"/>
    <w:rsid w:val="008628D7"/>
    <w:rsid w:val="00865445"/>
    <w:rsid w:val="008676AA"/>
    <w:rsid w:val="00867B85"/>
    <w:rsid w:val="00873A0C"/>
    <w:rsid w:val="008752F6"/>
    <w:rsid w:val="00877670"/>
    <w:rsid w:val="00881083"/>
    <w:rsid w:val="00884B99"/>
    <w:rsid w:val="00887A12"/>
    <w:rsid w:val="00892F92"/>
    <w:rsid w:val="008968CA"/>
    <w:rsid w:val="008A14B3"/>
    <w:rsid w:val="008A1AD2"/>
    <w:rsid w:val="008A2F43"/>
    <w:rsid w:val="008A3F88"/>
    <w:rsid w:val="008A3F93"/>
    <w:rsid w:val="008A6680"/>
    <w:rsid w:val="008B023D"/>
    <w:rsid w:val="008B2672"/>
    <w:rsid w:val="008B74E8"/>
    <w:rsid w:val="008C602C"/>
    <w:rsid w:val="008D6CD1"/>
    <w:rsid w:val="008E183C"/>
    <w:rsid w:val="008E636E"/>
    <w:rsid w:val="008F4505"/>
    <w:rsid w:val="0090198A"/>
    <w:rsid w:val="00902FA0"/>
    <w:rsid w:val="00903A0C"/>
    <w:rsid w:val="00912079"/>
    <w:rsid w:val="00914255"/>
    <w:rsid w:val="009144FB"/>
    <w:rsid w:val="009178E1"/>
    <w:rsid w:val="00933C10"/>
    <w:rsid w:val="0093411F"/>
    <w:rsid w:val="0093757F"/>
    <w:rsid w:val="009452C2"/>
    <w:rsid w:val="0095550A"/>
    <w:rsid w:val="0097672F"/>
    <w:rsid w:val="00976F9D"/>
    <w:rsid w:val="00981842"/>
    <w:rsid w:val="00983195"/>
    <w:rsid w:val="00996339"/>
    <w:rsid w:val="00996945"/>
    <w:rsid w:val="00996C1F"/>
    <w:rsid w:val="0099726B"/>
    <w:rsid w:val="009A1390"/>
    <w:rsid w:val="009A501E"/>
    <w:rsid w:val="009A79BD"/>
    <w:rsid w:val="009B167F"/>
    <w:rsid w:val="009B373B"/>
    <w:rsid w:val="009B65DE"/>
    <w:rsid w:val="009C36F4"/>
    <w:rsid w:val="009C3AD6"/>
    <w:rsid w:val="009D3F30"/>
    <w:rsid w:val="009D4B77"/>
    <w:rsid w:val="009D5802"/>
    <w:rsid w:val="009D6263"/>
    <w:rsid w:val="009D7CAE"/>
    <w:rsid w:val="009E5112"/>
    <w:rsid w:val="009F1CA5"/>
    <w:rsid w:val="009F5E03"/>
    <w:rsid w:val="00A01A41"/>
    <w:rsid w:val="00A04092"/>
    <w:rsid w:val="00A122A6"/>
    <w:rsid w:val="00A14C8D"/>
    <w:rsid w:val="00A1631D"/>
    <w:rsid w:val="00A20D88"/>
    <w:rsid w:val="00A252AA"/>
    <w:rsid w:val="00A4192F"/>
    <w:rsid w:val="00A60F37"/>
    <w:rsid w:val="00A7516A"/>
    <w:rsid w:val="00A82098"/>
    <w:rsid w:val="00A855FA"/>
    <w:rsid w:val="00AC0BC7"/>
    <w:rsid w:val="00AC16CD"/>
    <w:rsid w:val="00AC2CD2"/>
    <w:rsid w:val="00AC7916"/>
    <w:rsid w:val="00AC7954"/>
    <w:rsid w:val="00AF13F1"/>
    <w:rsid w:val="00AF2012"/>
    <w:rsid w:val="00B06BD4"/>
    <w:rsid w:val="00B102F8"/>
    <w:rsid w:val="00B162A2"/>
    <w:rsid w:val="00B24115"/>
    <w:rsid w:val="00B24A11"/>
    <w:rsid w:val="00B26EB3"/>
    <w:rsid w:val="00B27A85"/>
    <w:rsid w:val="00B33479"/>
    <w:rsid w:val="00B3571B"/>
    <w:rsid w:val="00B41553"/>
    <w:rsid w:val="00B423D1"/>
    <w:rsid w:val="00B43778"/>
    <w:rsid w:val="00B506B3"/>
    <w:rsid w:val="00B555AF"/>
    <w:rsid w:val="00B66A22"/>
    <w:rsid w:val="00B72016"/>
    <w:rsid w:val="00B73878"/>
    <w:rsid w:val="00B7463A"/>
    <w:rsid w:val="00B80497"/>
    <w:rsid w:val="00B80A4C"/>
    <w:rsid w:val="00B900C3"/>
    <w:rsid w:val="00B90DAD"/>
    <w:rsid w:val="00B92505"/>
    <w:rsid w:val="00B95D5E"/>
    <w:rsid w:val="00BA28A6"/>
    <w:rsid w:val="00BA7293"/>
    <w:rsid w:val="00BC5538"/>
    <w:rsid w:val="00BC64F2"/>
    <w:rsid w:val="00BC6A0F"/>
    <w:rsid w:val="00BD1696"/>
    <w:rsid w:val="00BD275B"/>
    <w:rsid w:val="00BD3B74"/>
    <w:rsid w:val="00BE7657"/>
    <w:rsid w:val="00C05FE2"/>
    <w:rsid w:val="00C06346"/>
    <w:rsid w:val="00C102D8"/>
    <w:rsid w:val="00C11FF7"/>
    <w:rsid w:val="00C12B12"/>
    <w:rsid w:val="00C26B8F"/>
    <w:rsid w:val="00C30725"/>
    <w:rsid w:val="00C379E7"/>
    <w:rsid w:val="00C43676"/>
    <w:rsid w:val="00C554E9"/>
    <w:rsid w:val="00C558C6"/>
    <w:rsid w:val="00C57363"/>
    <w:rsid w:val="00C64A0A"/>
    <w:rsid w:val="00C66C1A"/>
    <w:rsid w:val="00C67082"/>
    <w:rsid w:val="00C7433D"/>
    <w:rsid w:val="00C74E0C"/>
    <w:rsid w:val="00C80066"/>
    <w:rsid w:val="00C802FB"/>
    <w:rsid w:val="00C826F7"/>
    <w:rsid w:val="00C845BF"/>
    <w:rsid w:val="00C8489F"/>
    <w:rsid w:val="00C86858"/>
    <w:rsid w:val="00C910A7"/>
    <w:rsid w:val="00C96AEB"/>
    <w:rsid w:val="00CA257C"/>
    <w:rsid w:val="00CA41F4"/>
    <w:rsid w:val="00CA44C4"/>
    <w:rsid w:val="00CB3731"/>
    <w:rsid w:val="00CB43EB"/>
    <w:rsid w:val="00CB7393"/>
    <w:rsid w:val="00CC7B9B"/>
    <w:rsid w:val="00CD6F56"/>
    <w:rsid w:val="00CE3239"/>
    <w:rsid w:val="00CE3414"/>
    <w:rsid w:val="00CE39FF"/>
    <w:rsid w:val="00CE3A92"/>
    <w:rsid w:val="00CE3DF5"/>
    <w:rsid w:val="00CF0580"/>
    <w:rsid w:val="00CF293F"/>
    <w:rsid w:val="00D021B1"/>
    <w:rsid w:val="00D0570C"/>
    <w:rsid w:val="00D12F3F"/>
    <w:rsid w:val="00D13BF2"/>
    <w:rsid w:val="00D25198"/>
    <w:rsid w:val="00D27A8A"/>
    <w:rsid w:val="00D3040F"/>
    <w:rsid w:val="00D333CB"/>
    <w:rsid w:val="00D34328"/>
    <w:rsid w:val="00D3544C"/>
    <w:rsid w:val="00D40A60"/>
    <w:rsid w:val="00D4547A"/>
    <w:rsid w:val="00D50AB3"/>
    <w:rsid w:val="00D523A3"/>
    <w:rsid w:val="00D53D16"/>
    <w:rsid w:val="00D561E8"/>
    <w:rsid w:val="00D71751"/>
    <w:rsid w:val="00D76680"/>
    <w:rsid w:val="00D835C4"/>
    <w:rsid w:val="00D83E00"/>
    <w:rsid w:val="00D86DF8"/>
    <w:rsid w:val="00D870EC"/>
    <w:rsid w:val="00DA22AB"/>
    <w:rsid w:val="00DB0A05"/>
    <w:rsid w:val="00DB43A0"/>
    <w:rsid w:val="00DD5DC6"/>
    <w:rsid w:val="00DE1F78"/>
    <w:rsid w:val="00DE346C"/>
    <w:rsid w:val="00DF4EDD"/>
    <w:rsid w:val="00DF7E4F"/>
    <w:rsid w:val="00E01682"/>
    <w:rsid w:val="00E05471"/>
    <w:rsid w:val="00E1206D"/>
    <w:rsid w:val="00E21198"/>
    <w:rsid w:val="00E21DE5"/>
    <w:rsid w:val="00E269A6"/>
    <w:rsid w:val="00E31E4F"/>
    <w:rsid w:val="00E65CD5"/>
    <w:rsid w:val="00E749D0"/>
    <w:rsid w:val="00E82282"/>
    <w:rsid w:val="00E82A4B"/>
    <w:rsid w:val="00E86CD3"/>
    <w:rsid w:val="00E871CA"/>
    <w:rsid w:val="00E90A82"/>
    <w:rsid w:val="00E92869"/>
    <w:rsid w:val="00E92D74"/>
    <w:rsid w:val="00E9408E"/>
    <w:rsid w:val="00E94E92"/>
    <w:rsid w:val="00E95513"/>
    <w:rsid w:val="00E95D6D"/>
    <w:rsid w:val="00E9713A"/>
    <w:rsid w:val="00EA17A8"/>
    <w:rsid w:val="00EA4A13"/>
    <w:rsid w:val="00EA6922"/>
    <w:rsid w:val="00EB5BFE"/>
    <w:rsid w:val="00EC7132"/>
    <w:rsid w:val="00ED1960"/>
    <w:rsid w:val="00EE03EE"/>
    <w:rsid w:val="00EF0F9A"/>
    <w:rsid w:val="00EF15B9"/>
    <w:rsid w:val="00EF56B2"/>
    <w:rsid w:val="00F05345"/>
    <w:rsid w:val="00F056AE"/>
    <w:rsid w:val="00F11DC9"/>
    <w:rsid w:val="00F1752A"/>
    <w:rsid w:val="00F202F2"/>
    <w:rsid w:val="00F21151"/>
    <w:rsid w:val="00F23C65"/>
    <w:rsid w:val="00F25540"/>
    <w:rsid w:val="00F26CD1"/>
    <w:rsid w:val="00F44314"/>
    <w:rsid w:val="00F45055"/>
    <w:rsid w:val="00F47B9A"/>
    <w:rsid w:val="00F55B46"/>
    <w:rsid w:val="00F67EA6"/>
    <w:rsid w:val="00F917A0"/>
    <w:rsid w:val="00FA1B81"/>
    <w:rsid w:val="00FA2C5A"/>
    <w:rsid w:val="00FA4F39"/>
    <w:rsid w:val="00FA767F"/>
    <w:rsid w:val="00FB012F"/>
    <w:rsid w:val="00FB7840"/>
    <w:rsid w:val="00FC04AA"/>
    <w:rsid w:val="00FC1293"/>
    <w:rsid w:val="00FC20BB"/>
    <w:rsid w:val="00FC2E46"/>
    <w:rsid w:val="00FE6CFD"/>
    <w:rsid w:val="00FE71D3"/>
    <w:rsid w:val="00FF415F"/>
    <w:rsid w:val="00FF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19280B"/>
  <w15:chartTrackingRefBased/>
  <w15:docId w15:val="{6BEB1227-EC86-433C-AAB6-3FB5D09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7664"/>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39"/>
      </w:numPr>
      <w:spacing w:before="240" w:after="60"/>
      <w:outlineLvl w:val="4"/>
    </w:pPr>
    <w:rPr>
      <w:b/>
      <w:bCs/>
      <w:i/>
      <w:iCs/>
      <w:sz w:val="26"/>
      <w:szCs w:val="26"/>
    </w:rPr>
  </w:style>
  <w:style w:type="paragraph" w:styleId="Heading6">
    <w:name w:val="heading 6"/>
    <w:basedOn w:val="Normal"/>
    <w:next w:val="Normal"/>
    <w:rsid w:val="00B3571B"/>
    <w:pPr>
      <w:numPr>
        <w:ilvl w:val="5"/>
        <w:numId w:val="39"/>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39"/>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39"/>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39"/>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20"/>
      </w:numPr>
      <w:spacing w:after="20" w:line="260" w:lineRule="atLeast"/>
    </w:pPr>
  </w:style>
  <w:style w:type="paragraph" w:styleId="ListNumber2">
    <w:name w:val="List Number 2"/>
    <w:basedOn w:val="Normal"/>
    <w:qFormat/>
    <w:pPr>
      <w:numPr>
        <w:ilvl w:val="1"/>
        <w:numId w:val="18"/>
      </w:numPr>
      <w:spacing w:after="284" w:line="280" w:lineRule="atLeast"/>
    </w:pPr>
  </w:style>
  <w:style w:type="paragraph" w:styleId="ListNumber">
    <w:name w:val="List Number"/>
    <w:basedOn w:val="Normal"/>
    <w:qFormat/>
    <w:pPr>
      <w:numPr>
        <w:numId w:val="18"/>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20"/>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18"/>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32"/>
      </w:numPr>
      <w:spacing w:after="284" w:line="280" w:lineRule="atLeast"/>
    </w:pPr>
  </w:style>
  <w:style w:type="paragraph" w:customStyle="1" w:styleId="ParagraphBullet2">
    <w:name w:val="Paragraph Bullet 2"/>
    <w:basedOn w:val="Normal"/>
    <w:qFormat/>
    <w:pPr>
      <w:numPr>
        <w:ilvl w:val="1"/>
        <w:numId w:val="32"/>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34"/>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34"/>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uiPriority w:val="20"/>
    <w:qForma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4"/>
      </w:numPr>
      <w:contextualSpacing/>
    </w:pPr>
  </w:style>
  <w:style w:type="paragraph" w:styleId="ListBullet4">
    <w:name w:val="List Bullet 4"/>
    <w:basedOn w:val="Normal"/>
    <w:rsid w:val="00DD5DC6"/>
    <w:pPr>
      <w:numPr>
        <w:numId w:val="22"/>
      </w:numPr>
      <w:contextualSpacing/>
    </w:pPr>
  </w:style>
  <w:style w:type="paragraph" w:styleId="ListBullet5">
    <w:name w:val="List Bullet 5"/>
    <w:basedOn w:val="Normal"/>
    <w:rsid w:val="00DD5DC6"/>
    <w:pPr>
      <w:numPr>
        <w:numId w:val="23"/>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25"/>
      </w:numPr>
      <w:contextualSpacing/>
    </w:pPr>
  </w:style>
  <w:style w:type="paragraph" w:styleId="ListNumber5">
    <w:name w:val="List Number 5"/>
    <w:basedOn w:val="Normal"/>
    <w:rsid w:val="00DD5DC6"/>
    <w:pPr>
      <w:numPr>
        <w:numId w:val="26"/>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uiPriority w:val="99"/>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207664"/>
    <w:rPr>
      <w:rFonts w:ascii="Arial" w:hAnsi="Arial" w:cs="Arial"/>
      <w:b/>
      <w:color w:val="747678"/>
      <w:sz w:val="13"/>
    </w:rPr>
  </w:style>
  <w:style w:type="character" w:customStyle="1" w:styleId="Heading1Char">
    <w:name w:val="Heading 1 Char"/>
    <w:basedOn w:val="DefaultParagraphFont"/>
    <w:link w:val="Heading1"/>
    <w:rsid w:val="00207664"/>
    <w:rPr>
      <w:rFonts w:ascii="Arial Black" w:hAnsi="Arial Black" w:cs="Arial"/>
      <w:bCs/>
      <w:color w:val="4F2D7F"/>
      <w:kern w:val="32"/>
      <w:sz w:val="19"/>
      <w:szCs w:val="28"/>
    </w:rPr>
  </w:style>
  <w:style w:type="character" w:customStyle="1" w:styleId="Heading2Char">
    <w:name w:val="Heading 2 Char"/>
    <w:basedOn w:val="DefaultParagraphFont"/>
    <w:link w:val="Heading2"/>
    <w:rsid w:val="00207664"/>
    <w:rPr>
      <w:rFonts w:ascii="Arial Black" w:hAnsi="Arial Black" w:cs="Arial"/>
      <w:kern w:val="32"/>
      <w:sz w:val="19"/>
      <w:szCs w:val="24"/>
    </w:rPr>
  </w:style>
  <w:style w:type="paragraph" w:customStyle="1" w:styleId="Default">
    <w:name w:val="Default"/>
    <w:rsid w:val="00E65C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8063">
      <w:bodyDiv w:val="1"/>
      <w:marLeft w:val="0"/>
      <w:marRight w:val="0"/>
      <w:marTop w:val="0"/>
      <w:marBottom w:val="0"/>
      <w:divBdr>
        <w:top w:val="none" w:sz="0" w:space="0" w:color="auto"/>
        <w:left w:val="none" w:sz="0" w:space="0" w:color="auto"/>
        <w:bottom w:val="none" w:sz="0" w:space="0" w:color="auto"/>
        <w:right w:val="none" w:sz="0" w:space="0" w:color="auto"/>
      </w:divBdr>
      <w:divsChild>
        <w:div w:id="877547705">
          <w:marLeft w:val="0"/>
          <w:marRight w:val="0"/>
          <w:marTop w:val="0"/>
          <w:marBottom w:val="0"/>
          <w:divBdr>
            <w:top w:val="none" w:sz="0" w:space="0" w:color="auto"/>
            <w:left w:val="none" w:sz="0" w:space="0" w:color="auto"/>
            <w:bottom w:val="none" w:sz="0" w:space="0" w:color="auto"/>
            <w:right w:val="none" w:sz="0" w:space="0" w:color="auto"/>
          </w:divBdr>
          <w:divsChild>
            <w:div w:id="1516115390">
              <w:marLeft w:val="0"/>
              <w:marRight w:val="0"/>
              <w:marTop w:val="0"/>
              <w:marBottom w:val="0"/>
              <w:divBdr>
                <w:top w:val="none" w:sz="0" w:space="0" w:color="auto"/>
                <w:left w:val="none" w:sz="0" w:space="0" w:color="auto"/>
                <w:bottom w:val="none" w:sz="0" w:space="0" w:color="auto"/>
                <w:right w:val="none" w:sz="0" w:space="0" w:color="auto"/>
              </w:divBdr>
              <w:divsChild>
                <w:div w:id="113597409">
                  <w:marLeft w:val="0"/>
                  <w:marRight w:val="0"/>
                  <w:marTop w:val="0"/>
                  <w:marBottom w:val="0"/>
                  <w:divBdr>
                    <w:top w:val="none" w:sz="0" w:space="0" w:color="auto"/>
                    <w:left w:val="none" w:sz="0" w:space="0" w:color="auto"/>
                    <w:bottom w:val="none" w:sz="0" w:space="0" w:color="auto"/>
                    <w:right w:val="none" w:sz="0" w:space="0" w:color="auto"/>
                  </w:divBdr>
                  <w:divsChild>
                    <w:div w:id="1917393755">
                      <w:marLeft w:val="0"/>
                      <w:marRight w:val="0"/>
                      <w:marTop w:val="0"/>
                      <w:marBottom w:val="0"/>
                      <w:divBdr>
                        <w:top w:val="none" w:sz="0" w:space="0" w:color="auto"/>
                        <w:left w:val="none" w:sz="0" w:space="0" w:color="auto"/>
                        <w:bottom w:val="none" w:sz="0" w:space="0" w:color="auto"/>
                        <w:right w:val="none" w:sz="0" w:space="0" w:color="auto"/>
                      </w:divBdr>
                      <w:divsChild>
                        <w:div w:id="1121877524">
                          <w:marLeft w:val="0"/>
                          <w:marRight w:val="0"/>
                          <w:marTop w:val="0"/>
                          <w:marBottom w:val="0"/>
                          <w:divBdr>
                            <w:top w:val="none" w:sz="0" w:space="0" w:color="auto"/>
                            <w:left w:val="none" w:sz="0" w:space="0" w:color="auto"/>
                            <w:bottom w:val="none" w:sz="0" w:space="0" w:color="auto"/>
                            <w:right w:val="none" w:sz="0" w:space="0" w:color="auto"/>
                          </w:divBdr>
                          <w:divsChild>
                            <w:div w:id="1776243806">
                              <w:marLeft w:val="0"/>
                              <w:marRight w:val="0"/>
                              <w:marTop w:val="0"/>
                              <w:marBottom w:val="0"/>
                              <w:divBdr>
                                <w:top w:val="none" w:sz="0" w:space="0" w:color="auto"/>
                                <w:left w:val="none" w:sz="0" w:space="0" w:color="auto"/>
                                <w:bottom w:val="none" w:sz="0" w:space="0" w:color="auto"/>
                                <w:right w:val="none" w:sz="0" w:space="0" w:color="auto"/>
                              </w:divBdr>
                              <w:divsChild>
                                <w:div w:id="1914045950">
                                  <w:marLeft w:val="0"/>
                                  <w:marRight w:val="0"/>
                                  <w:marTop w:val="0"/>
                                  <w:marBottom w:val="0"/>
                                  <w:divBdr>
                                    <w:top w:val="none" w:sz="0" w:space="0" w:color="auto"/>
                                    <w:left w:val="none" w:sz="0" w:space="0" w:color="auto"/>
                                    <w:bottom w:val="none" w:sz="0" w:space="0" w:color="auto"/>
                                    <w:right w:val="none" w:sz="0" w:space="0" w:color="auto"/>
                                  </w:divBdr>
                                  <w:divsChild>
                                    <w:div w:id="1594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3C32-BEFC-4BFC-9C94-799A6751BEC9}">
  <ds:schemaRefs>
    <ds:schemaRef ds:uri="http://schemas.microsoft.com/sharepoint/v3/contenttype/forms"/>
  </ds:schemaRefs>
</ds:datastoreItem>
</file>

<file path=customXml/itemProps2.xml><?xml version="1.0" encoding="utf-8"?>
<ds:datastoreItem xmlns:ds="http://schemas.openxmlformats.org/officeDocument/2006/customXml" ds:itemID="{D188C73C-175B-4C5C-BF27-0AC58B34CA5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61B7E358-45F4-44C3-92D6-05B34D8C0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36F8EC-C79A-4030-8C5A-CF9501B1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Douek, Mark</dc:creator>
  <cp:keywords/>
  <dc:description/>
  <cp:lastModifiedBy>Curtis, Michael R CIV OSD OUSD P-R (US)</cp:lastModifiedBy>
  <cp:revision>2</cp:revision>
  <cp:lastPrinted>2014-10-08T16:46:00Z</cp:lastPrinted>
  <dcterms:created xsi:type="dcterms:W3CDTF">2019-08-20T20:12:00Z</dcterms:created>
  <dcterms:modified xsi:type="dcterms:W3CDTF">2019-08-20T20:12:00Z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